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820"/>
        <w:gridCol w:w="1740"/>
        <w:gridCol w:w="2780"/>
        <w:gridCol w:w="1680"/>
        <w:gridCol w:w="3480"/>
        <w:gridCol w:w="1281"/>
        <w:gridCol w:w="2268"/>
      </w:tblGrid>
      <w:tr w:rsidR="00EC7763" w:rsidRPr="00EC7763" w:rsidTr="00EC7763">
        <w:trPr>
          <w:trHeight w:val="42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EC776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C7763" w:rsidRPr="00EC7763" w:rsidTr="00EC7763">
        <w:trPr>
          <w:trHeight w:val="570"/>
        </w:trPr>
        <w:tc>
          <w:tcPr>
            <w:tcW w:w="140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黑体" w:eastAsia="黑体" w:hAnsi="黑体" w:cs="宋体"/>
                <w:kern w:val="0"/>
                <w:sz w:val="48"/>
                <w:szCs w:val="48"/>
              </w:rPr>
            </w:pPr>
            <w:r w:rsidRPr="00EC7763">
              <w:rPr>
                <w:rFonts w:ascii="黑体" w:eastAsia="黑体" w:hAnsi="黑体" w:cs="宋体" w:hint="eastAsia"/>
                <w:kern w:val="0"/>
                <w:sz w:val="48"/>
                <w:szCs w:val="48"/>
              </w:rPr>
              <w:t>内蒙古国资委出资人备案事项清单</w:t>
            </w:r>
          </w:p>
        </w:tc>
      </w:tr>
      <w:tr w:rsidR="00EC7763" w:rsidRPr="00EC7763" w:rsidTr="00EC7763">
        <w:trPr>
          <w:trHeight w:val="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监管类别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主办处室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实 施 依 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C7763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说 明</w:t>
            </w:r>
          </w:p>
        </w:tc>
      </w:tr>
      <w:tr w:rsidR="00EC7763" w:rsidRPr="00EC7763" w:rsidTr="00EC7763">
        <w:trPr>
          <w:trHeight w:val="89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财务监督事项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企业会计政策调整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财务监管处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《企业国有资产法》第十八条；《企业国有资产监督管理暂行条例》第三十四条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8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企业年度财务预算报告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《公司法》第三十七条；《企业国有资产监督管理暂行条例》第三十四条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企业年度利润分配方案和弥补亏损方案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《公司法》第三十七条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30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重要子企业清产核资结果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《企业国有资产监督管理暂行条例》第二十九条；《国有企业清产核资办法》第二十一条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3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企业财务风险事项（含企业重大资产损失事项）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《中央企业资产损失责任追究暂行办法》（国务院国资委令第20号）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69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规划投资监管事项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企业发展战略规划、年度固定资产投资计划及其变更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规划发展处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《公司法》第三十七条、六十六条；《企业国有资产监督管理暂行条例》第三十一条；《内蒙古自治区企业国有资产监督管理条例》三十三条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968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董事会管理事项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董事会决议和董事会年度工作报告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企业改革处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《公司法》第三十七条、六十六条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1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企业发生涉及出资人重大权益的法律纠纷事项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政策法规处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《国有企业法律顾问管理办法》（国务院国资委令第6号）第三十条；《内蒙古自治区企业国有资产监督管理条例》第二十六条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2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国有产权、股权管理事项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全区范围内国有股东标识管理备案事项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产权管理处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《上市公司国有股权监督管理办法》（国务院国资委、财政部、中国证监会令第36号）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6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国有产权、股权管理事项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合理持股比例以上全区范围内国有股权转让事项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产权管理处</w:t>
            </w: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《上市公司国有股权监督管理办法》（国务院国资委、财政部、中国证监会令第36号）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企业产权登记管理事项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《企业国有资产监督管理暂行条例》第二十九条；《内蒙古自治区企业国有资产监督管理条例》第十六条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346D0C">
        <w:trPr>
          <w:trHeight w:val="141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企业负责人薪酬管理事项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企业负责人履职待遇、业务支出预算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考核分配处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《自治区直属国有企业负责人履职待遇、业务支出管理办法（试行）》（内</w:t>
            </w:r>
            <w:proofErr w:type="gramStart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党办发</w:t>
            </w:r>
            <w:proofErr w:type="gramEnd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〔2015〕52号）第二十八条、三十二条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346D0C">
        <w:trPr>
          <w:trHeight w:val="126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企业股权激励事项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企业所出资控股上市公司股权激励计划和方案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关于印发《国有控股上市公司(境内)实施股权激励试行办法》的通知（国</w:t>
            </w:r>
            <w:proofErr w:type="gramStart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资发分配</w:t>
            </w:r>
            <w:proofErr w:type="gramEnd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〔2006〕175号）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16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安全生产、环境保护管理事项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企业发生的较大及以上安全生产、环境污染事故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《内蒙古自治区有关部门和单位安全生产工作职责规定》（内政〔2015〕145号）；《自治区党委、政府及有关部门环境保护工作职责》（厅发〔2015〕29号）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346D0C">
        <w:trPr>
          <w:trHeight w:val="197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工资总额、企业年金管理事项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年度工资总额预算管理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《国务院关于改革国有企业工资决定机制的意见》（国发〔2018〕16号）；《内蒙古自治区人民政府关于改革国有企业工资决定机制的实施意见》（内政发〔2018〕51号）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年度工资总额预算备案范围：商业竞争类企业</w:t>
            </w:r>
          </w:p>
        </w:tc>
      </w:tr>
      <w:tr w:rsidR="00EC7763" w:rsidRPr="00EC7763" w:rsidTr="00EC7763">
        <w:trPr>
          <w:trHeight w:val="1121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企业年金实施方案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《关于中央企业规范实施企业年金的意见》（</w:t>
            </w:r>
            <w:proofErr w:type="gramStart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国资发考分</w:t>
            </w:r>
            <w:proofErr w:type="gramEnd"/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〔2018〕76号）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C7763" w:rsidRPr="00EC7763" w:rsidTr="00EC7763">
        <w:trPr>
          <w:trHeight w:val="375"/>
        </w:trPr>
        <w:tc>
          <w:tcPr>
            <w:tcW w:w="140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7763" w:rsidRPr="00EC7763" w:rsidRDefault="00EC7763" w:rsidP="00EC776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C776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备注：事项名称中冠以“企业”字样的，均指出资监管的一级企业。</w:t>
            </w:r>
          </w:p>
        </w:tc>
      </w:tr>
    </w:tbl>
    <w:p w:rsidR="0033078C" w:rsidRPr="00EC7763" w:rsidRDefault="0033078C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33078C" w:rsidRPr="00EC7763" w:rsidSect="00EC77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63"/>
    <w:rsid w:val="0033078C"/>
    <w:rsid w:val="00E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何迎春</dc:creator>
  <cp:lastModifiedBy>何迎春</cp:lastModifiedBy>
  <cp:revision>1</cp:revision>
  <dcterms:created xsi:type="dcterms:W3CDTF">2019-03-21T02:16:00Z</dcterms:created>
  <dcterms:modified xsi:type="dcterms:W3CDTF">2019-03-21T02:19:00Z</dcterms:modified>
</cp:coreProperties>
</file>