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4240" w:type="dxa"/>
        <w:tblInd w:w="93" w:type="dxa"/>
        <w:tblLook w:val="04A0" w:firstRow="1" w:lastRow="0" w:firstColumn="1" w:lastColumn="0" w:noHBand="0" w:noVBand="1"/>
      </w:tblPr>
      <w:tblGrid>
        <w:gridCol w:w="900"/>
        <w:gridCol w:w="6700"/>
        <w:gridCol w:w="6640"/>
      </w:tblGrid>
      <w:tr w:rsidR="00F947B5" w:rsidRPr="00F947B5" w:rsidTr="00F947B5">
        <w:trPr>
          <w:trHeight w:val="450"/>
        </w:trPr>
        <w:tc>
          <w:tcPr>
            <w:tcW w:w="7600" w:type="dxa"/>
            <w:gridSpan w:val="2"/>
            <w:tcBorders>
              <w:top w:val="nil"/>
              <w:left w:val="nil"/>
              <w:bottom w:val="nil"/>
              <w:right w:val="nil"/>
            </w:tcBorders>
            <w:shd w:val="clear" w:color="auto" w:fill="auto"/>
            <w:noWrap/>
            <w:vAlign w:val="center"/>
            <w:hideMark/>
          </w:tcPr>
          <w:p w:rsidR="00F947B5" w:rsidRPr="00F947B5" w:rsidRDefault="00F947B5" w:rsidP="00F947B5">
            <w:pPr>
              <w:widowControl/>
              <w:jc w:val="left"/>
              <w:rPr>
                <w:rFonts w:ascii="黑体" w:eastAsia="黑体" w:hAnsi="黑体" w:cs="宋体"/>
                <w:kern w:val="0"/>
                <w:sz w:val="32"/>
                <w:szCs w:val="32"/>
              </w:rPr>
            </w:pPr>
            <w:r w:rsidRPr="00F947B5">
              <w:rPr>
                <w:rFonts w:ascii="黑体" w:eastAsia="黑体" w:hAnsi="黑体" w:cs="宋体" w:hint="eastAsia"/>
                <w:kern w:val="0"/>
                <w:sz w:val="32"/>
                <w:szCs w:val="32"/>
              </w:rPr>
              <w:t>附件3</w:t>
            </w:r>
          </w:p>
        </w:tc>
        <w:tc>
          <w:tcPr>
            <w:tcW w:w="6640" w:type="dxa"/>
            <w:tcBorders>
              <w:top w:val="nil"/>
              <w:left w:val="nil"/>
              <w:bottom w:val="nil"/>
              <w:right w:val="nil"/>
            </w:tcBorders>
            <w:shd w:val="clear" w:color="auto" w:fill="auto"/>
            <w:noWrap/>
            <w:vAlign w:val="center"/>
            <w:hideMark/>
          </w:tcPr>
          <w:p w:rsidR="00F947B5" w:rsidRPr="00F947B5" w:rsidRDefault="00F947B5" w:rsidP="00F947B5">
            <w:pPr>
              <w:widowControl/>
              <w:jc w:val="left"/>
              <w:rPr>
                <w:rFonts w:ascii="宋体" w:eastAsia="宋体" w:hAnsi="宋体" w:cs="宋体"/>
                <w:kern w:val="0"/>
                <w:sz w:val="24"/>
                <w:szCs w:val="24"/>
              </w:rPr>
            </w:pPr>
          </w:p>
        </w:tc>
      </w:tr>
      <w:tr w:rsidR="00F947B5" w:rsidRPr="00F947B5" w:rsidTr="00F947B5">
        <w:trPr>
          <w:trHeight w:val="525"/>
        </w:trPr>
        <w:tc>
          <w:tcPr>
            <w:tcW w:w="14240" w:type="dxa"/>
            <w:gridSpan w:val="3"/>
            <w:tcBorders>
              <w:top w:val="nil"/>
              <w:left w:val="nil"/>
              <w:bottom w:val="nil"/>
              <w:right w:val="nil"/>
            </w:tcBorders>
            <w:shd w:val="clear" w:color="auto" w:fill="auto"/>
            <w:noWrap/>
            <w:vAlign w:val="center"/>
            <w:hideMark/>
          </w:tcPr>
          <w:p w:rsidR="00F947B5" w:rsidRPr="00F947B5" w:rsidRDefault="00F947B5" w:rsidP="00F947B5">
            <w:pPr>
              <w:widowControl/>
              <w:jc w:val="center"/>
              <w:rPr>
                <w:rFonts w:ascii="黑体" w:eastAsia="黑体" w:hAnsi="黑体" w:cs="宋体"/>
                <w:color w:val="000000"/>
                <w:kern w:val="0"/>
                <w:sz w:val="48"/>
                <w:szCs w:val="48"/>
              </w:rPr>
            </w:pPr>
            <w:r w:rsidRPr="00F947B5">
              <w:rPr>
                <w:rFonts w:ascii="黑体" w:eastAsia="黑体" w:hAnsi="黑体" w:cs="宋体" w:hint="eastAsia"/>
                <w:color w:val="000000"/>
                <w:kern w:val="0"/>
                <w:sz w:val="48"/>
                <w:szCs w:val="48"/>
              </w:rPr>
              <w:t>内蒙古国资委出资人监管责任清单</w:t>
            </w:r>
          </w:p>
        </w:tc>
      </w:tr>
      <w:tr w:rsidR="00F947B5" w:rsidRPr="00F947B5" w:rsidTr="00F947B5">
        <w:trPr>
          <w:trHeight w:val="675"/>
        </w:trPr>
        <w:tc>
          <w:tcPr>
            <w:tcW w:w="9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47B5" w:rsidRPr="00F947B5" w:rsidRDefault="00F947B5" w:rsidP="00F947B5">
            <w:pPr>
              <w:widowControl/>
              <w:jc w:val="center"/>
              <w:rPr>
                <w:rFonts w:ascii="仿宋" w:eastAsia="仿宋" w:hAnsi="仿宋" w:cs="宋体"/>
                <w:b/>
                <w:bCs/>
                <w:color w:val="000000"/>
                <w:kern w:val="0"/>
                <w:sz w:val="24"/>
                <w:szCs w:val="24"/>
              </w:rPr>
            </w:pPr>
            <w:r w:rsidRPr="00F947B5">
              <w:rPr>
                <w:rFonts w:ascii="仿宋" w:eastAsia="仿宋" w:hAnsi="仿宋" w:cs="宋体" w:hint="eastAsia"/>
                <w:b/>
                <w:bCs/>
                <w:color w:val="000000"/>
                <w:kern w:val="0"/>
                <w:sz w:val="24"/>
                <w:szCs w:val="24"/>
              </w:rPr>
              <w:t>序号</w:t>
            </w:r>
          </w:p>
        </w:tc>
        <w:tc>
          <w:tcPr>
            <w:tcW w:w="6700" w:type="dxa"/>
            <w:tcBorders>
              <w:top w:val="single" w:sz="4" w:space="0" w:color="auto"/>
              <w:left w:val="nil"/>
              <w:bottom w:val="single" w:sz="4" w:space="0" w:color="auto"/>
              <w:right w:val="single" w:sz="4" w:space="0" w:color="auto"/>
            </w:tcBorders>
            <w:shd w:val="clear" w:color="auto" w:fill="auto"/>
            <w:vAlign w:val="center"/>
            <w:hideMark/>
          </w:tcPr>
          <w:p w:rsidR="00F947B5" w:rsidRPr="00F947B5" w:rsidRDefault="00F947B5" w:rsidP="00F947B5">
            <w:pPr>
              <w:widowControl/>
              <w:jc w:val="center"/>
              <w:rPr>
                <w:rFonts w:ascii="仿宋" w:eastAsia="仿宋" w:hAnsi="仿宋" w:cs="宋体"/>
                <w:b/>
                <w:bCs/>
                <w:color w:val="000000"/>
                <w:kern w:val="0"/>
                <w:sz w:val="24"/>
                <w:szCs w:val="24"/>
              </w:rPr>
            </w:pPr>
            <w:proofErr w:type="gramStart"/>
            <w:r w:rsidRPr="00F947B5">
              <w:rPr>
                <w:rFonts w:ascii="仿宋" w:eastAsia="仿宋" w:hAnsi="仿宋" w:cs="宋体" w:hint="eastAsia"/>
                <w:b/>
                <w:bCs/>
                <w:color w:val="000000"/>
                <w:kern w:val="0"/>
                <w:sz w:val="24"/>
                <w:szCs w:val="24"/>
              </w:rPr>
              <w:t>责</w:t>
            </w:r>
            <w:proofErr w:type="gramEnd"/>
            <w:r w:rsidRPr="00F947B5">
              <w:rPr>
                <w:rFonts w:ascii="仿宋" w:eastAsia="仿宋" w:hAnsi="仿宋" w:cs="宋体" w:hint="eastAsia"/>
                <w:b/>
                <w:bCs/>
                <w:color w:val="000000"/>
                <w:kern w:val="0"/>
                <w:sz w:val="24"/>
                <w:szCs w:val="24"/>
              </w:rPr>
              <w:t xml:space="preserve">  任  事  项</w:t>
            </w:r>
          </w:p>
        </w:tc>
        <w:tc>
          <w:tcPr>
            <w:tcW w:w="6640" w:type="dxa"/>
            <w:tcBorders>
              <w:top w:val="single" w:sz="4" w:space="0" w:color="auto"/>
              <w:left w:val="nil"/>
              <w:bottom w:val="single" w:sz="4" w:space="0" w:color="auto"/>
              <w:right w:val="single" w:sz="4" w:space="0" w:color="auto"/>
            </w:tcBorders>
            <w:shd w:val="clear" w:color="auto" w:fill="auto"/>
            <w:vAlign w:val="center"/>
            <w:hideMark/>
          </w:tcPr>
          <w:p w:rsidR="00F947B5" w:rsidRPr="00F947B5" w:rsidRDefault="00F947B5" w:rsidP="00F947B5">
            <w:pPr>
              <w:widowControl/>
              <w:jc w:val="center"/>
              <w:rPr>
                <w:rFonts w:ascii="仿宋" w:eastAsia="仿宋" w:hAnsi="仿宋" w:cs="宋体"/>
                <w:b/>
                <w:bCs/>
                <w:color w:val="000000"/>
                <w:kern w:val="0"/>
                <w:sz w:val="24"/>
                <w:szCs w:val="24"/>
              </w:rPr>
            </w:pPr>
            <w:r w:rsidRPr="00F947B5">
              <w:rPr>
                <w:rFonts w:ascii="仿宋" w:eastAsia="仿宋" w:hAnsi="仿宋" w:cs="宋体" w:hint="eastAsia"/>
                <w:b/>
                <w:bCs/>
                <w:color w:val="000000"/>
                <w:kern w:val="0"/>
                <w:sz w:val="24"/>
                <w:szCs w:val="24"/>
              </w:rPr>
              <w:t>责 任 依 据</w:t>
            </w:r>
          </w:p>
        </w:tc>
      </w:tr>
      <w:tr w:rsidR="00F947B5" w:rsidRPr="00F947B5" w:rsidTr="00F947B5">
        <w:trPr>
          <w:trHeight w:val="1170"/>
        </w:trPr>
        <w:tc>
          <w:tcPr>
            <w:tcW w:w="900" w:type="dxa"/>
            <w:tcBorders>
              <w:top w:val="nil"/>
              <w:left w:val="single" w:sz="4" w:space="0" w:color="auto"/>
              <w:bottom w:val="single" w:sz="4" w:space="0" w:color="auto"/>
              <w:right w:val="single" w:sz="4" w:space="0" w:color="auto"/>
            </w:tcBorders>
            <w:shd w:val="clear" w:color="auto" w:fill="auto"/>
            <w:vAlign w:val="center"/>
            <w:hideMark/>
          </w:tcPr>
          <w:p w:rsidR="00F947B5" w:rsidRPr="00F947B5" w:rsidRDefault="00F947B5" w:rsidP="00F947B5">
            <w:pPr>
              <w:widowControl/>
              <w:jc w:val="center"/>
              <w:rPr>
                <w:rFonts w:ascii="仿宋" w:eastAsia="仿宋" w:hAnsi="仿宋" w:cs="宋体"/>
                <w:color w:val="000000"/>
                <w:kern w:val="0"/>
                <w:sz w:val="24"/>
                <w:szCs w:val="24"/>
              </w:rPr>
            </w:pPr>
            <w:r w:rsidRPr="00F947B5">
              <w:rPr>
                <w:rFonts w:ascii="仿宋" w:eastAsia="仿宋" w:hAnsi="仿宋" w:cs="宋体" w:hint="eastAsia"/>
                <w:color w:val="000000"/>
                <w:kern w:val="0"/>
                <w:sz w:val="24"/>
                <w:szCs w:val="24"/>
              </w:rPr>
              <w:t>1</w:t>
            </w:r>
          </w:p>
        </w:tc>
        <w:tc>
          <w:tcPr>
            <w:tcW w:w="6700" w:type="dxa"/>
            <w:tcBorders>
              <w:top w:val="nil"/>
              <w:left w:val="nil"/>
              <w:bottom w:val="single" w:sz="4" w:space="0" w:color="auto"/>
              <w:right w:val="single" w:sz="4" w:space="0" w:color="auto"/>
            </w:tcBorders>
            <w:shd w:val="clear" w:color="auto" w:fill="auto"/>
            <w:vAlign w:val="center"/>
            <w:hideMark/>
          </w:tcPr>
          <w:p w:rsidR="00F947B5" w:rsidRPr="00F947B5" w:rsidRDefault="00F947B5" w:rsidP="00F947B5">
            <w:pPr>
              <w:widowControl/>
              <w:jc w:val="left"/>
              <w:rPr>
                <w:rFonts w:ascii="仿宋" w:eastAsia="仿宋" w:hAnsi="仿宋" w:cs="宋体"/>
                <w:color w:val="000000"/>
                <w:kern w:val="0"/>
                <w:sz w:val="24"/>
                <w:szCs w:val="24"/>
              </w:rPr>
            </w:pPr>
            <w:r w:rsidRPr="00F947B5">
              <w:rPr>
                <w:rFonts w:ascii="仿宋" w:eastAsia="仿宋" w:hAnsi="仿宋" w:cs="宋体" w:hint="eastAsia"/>
                <w:color w:val="000000"/>
                <w:kern w:val="0"/>
                <w:sz w:val="24"/>
                <w:szCs w:val="24"/>
              </w:rPr>
              <w:t>根据自治区人民政府授权，依照法律法规，履行出资人职责，维护所有者权益</w:t>
            </w:r>
          </w:p>
        </w:tc>
        <w:tc>
          <w:tcPr>
            <w:tcW w:w="6640" w:type="dxa"/>
            <w:tcBorders>
              <w:top w:val="nil"/>
              <w:left w:val="nil"/>
              <w:bottom w:val="single" w:sz="4" w:space="0" w:color="auto"/>
              <w:right w:val="single" w:sz="4" w:space="0" w:color="auto"/>
            </w:tcBorders>
            <w:shd w:val="clear" w:color="auto" w:fill="auto"/>
            <w:vAlign w:val="center"/>
            <w:hideMark/>
          </w:tcPr>
          <w:p w:rsidR="00F947B5" w:rsidRPr="00F947B5" w:rsidRDefault="00F947B5" w:rsidP="00F947B5">
            <w:pPr>
              <w:widowControl/>
              <w:jc w:val="left"/>
              <w:rPr>
                <w:rFonts w:ascii="仿宋" w:eastAsia="仿宋" w:hAnsi="仿宋" w:cs="宋体"/>
                <w:color w:val="000000"/>
                <w:kern w:val="0"/>
                <w:sz w:val="24"/>
                <w:szCs w:val="24"/>
              </w:rPr>
            </w:pPr>
            <w:r w:rsidRPr="00F947B5">
              <w:rPr>
                <w:rFonts w:ascii="仿宋" w:eastAsia="仿宋" w:hAnsi="仿宋" w:cs="宋体" w:hint="eastAsia"/>
                <w:color w:val="000000"/>
                <w:kern w:val="0"/>
                <w:sz w:val="24"/>
                <w:szCs w:val="24"/>
              </w:rPr>
              <w:t>《企业国有资产监督管理暂行条例》第十三条；《内蒙古自治区企业国有资产监督管理条例》第九条</w:t>
            </w:r>
          </w:p>
        </w:tc>
      </w:tr>
      <w:tr w:rsidR="00F947B5" w:rsidRPr="00F947B5" w:rsidTr="00F947B5">
        <w:trPr>
          <w:trHeight w:val="1838"/>
        </w:trPr>
        <w:tc>
          <w:tcPr>
            <w:tcW w:w="900" w:type="dxa"/>
            <w:tcBorders>
              <w:top w:val="nil"/>
              <w:left w:val="single" w:sz="4" w:space="0" w:color="auto"/>
              <w:bottom w:val="single" w:sz="4" w:space="0" w:color="auto"/>
              <w:right w:val="single" w:sz="4" w:space="0" w:color="auto"/>
            </w:tcBorders>
            <w:shd w:val="clear" w:color="auto" w:fill="auto"/>
            <w:vAlign w:val="center"/>
            <w:hideMark/>
          </w:tcPr>
          <w:p w:rsidR="00F947B5" w:rsidRPr="00F947B5" w:rsidRDefault="00F947B5" w:rsidP="00F947B5">
            <w:pPr>
              <w:widowControl/>
              <w:jc w:val="center"/>
              <w:rPr>
                <w:rFonts w:ascii="仿宋" w:eastAsia="仿宋" w:hAnsi="仿宋" w:cs="宋体"/>
                <w:color w:val="000000"/>
                <w:kern w:val="0"/>
                <w:sz w:val="24"/>
                <w:szCs w:val="24"/>
              </w:rPr>
            </w:pPr>
            <w:r w:rsidRPr="00F947B5">
              <w:rPr>
                <w:rFonts w:ascii="仿宋" w:eastAsia="仿宋" w:hAnsi="仿宋" w:cs="宋体" w:hint="eastAsia"/>
                <w:color w:val="000000"/>
                <w:kern w:val="0"/>
                <w:sz w:val="24"/>
                <w:szCs w:val="24"/>
              </w:rPr>
              <w:t>2</w:t>
            </w:r>
          </w:p>
        </w:tc>
        <w:tc>
          <w:tcPr>
            <w:tcW w:w="6700" w:type="dxa"/>
            <w:tcBorders>
              <w:top w:val="nil"/>
              <w:left w:val="nil"/>
              <w:bottom w:val="single" w:sz="4" w:space="0" w:color="auto"/>
              <w:right w:val="single" w:sz="4" w:space="0" w:color="auto"/>
            </w:tcBorders>
            <w:shd w:val="clear" w:color="auto" w:fill="auto"/>
            <w:vAlign w:val="center"/>
            <w:hideMark/>
          </w:tcPr>
          <w:p w:rsidR="00F947B5" w:rsidRPr="00F947B5" w:rsidRDefault="00F947B5" w:rsidP="00F947B5">
            <w:pPr>
              <w:widowControl/>
              <w:jc w:val="left"/>
              <w:rPr>
                <w:rFonts w:ascii="仿宋" w:eastAsia="仿宋" w:hAnsi="仿宋" w:cs="宋体"/>
                <w:color w:val="000000"/>
                <w:kern w:val="0"/>
                <w:sz w:val="24"/>
                <w:szCs w:val="24"/>
              </w:rPr>
            </w:pPr>
            <w:r w:rsidRPr="00F947B5">
              <w:rPr>
                <w:rFonts w:ascii="仿宋" w:eastAsia="仿宋" w:hAnsi="仿宋" w:cs="宋体" w:hint="eastAsia"/>
                <w:color w:val="000000"/>
                <w:kern w:val="0"/>
                <w:sz w:val="24"/>
                <w:szCs w:val="24"/>
              </w:rPr>
              <w:t>以管资本为主加强国有资产监督管理，优化资本布局、规范资本运作、提高资本回报、维护资本安全，推进国有资产合理流动，指导国有独资企业、国有独资公司、国有资本控股公司的改革和重组，调整优化国有经济布局和结构</w:t>
            </w:r>
          </w:p>
        </w:tc>
        <w:tc>
          <w:tcPr>
            <w:tcW w:w="6640" w:type="dxa"/>
            <w:tcBorders>
              <w:top w:val="nil"/>
              <w:left w:val="nil"/>
              <w:bottom w:val="single" w:sz="4" w:space="0" w:color="auto"/>
              <w:right w:val="single" w:sz="4" w:space="0" w:color="auto"/>
            </w:tcBorders>
            <w:shd w:val="clear" w:color="auto" w:fill="auto"/>
            <w:vAlign w:val="center"/>
            <w:hideMark/>
          </w:tcPr>
          <w:p w:rsidR="00F947B5" w:rsidRPr="00F947B5" w:rsidRDefault="00F947B5" w:rsidP="00F947B5">
            <w:pPr>
              <w:widowControl/>
              <w:jc w:val="left"/>
              <w:rPr>
                <w:rFonts w:ascii="仿宋" w:eastAsia="仿宋" w:hAnsi="仿宋" w:cs="宋体"/>
                <w:color w:val="000000"/>
                <w:kern w:val="0"/>
                <w:sz w:val="24"/>
                <w:szCs w:val="24"/>
              </w:rPr>
            </w:pPr>
            <w:r w:rsidRPr="00F947B5">
              <w:rPr>
                <w:rFonts w:ascii="仿宋" w:eastAsia="仿宋" w:hAnsi="仿宋" w:cs="宋体" w:hint="eastAsia"/>
                <w:color w:val="000000"/>
                <w:kern w:val="0"/>
                <w:sz w:val="24"/>
                <w:szCs w:val="24"/>
              </w:rPr>
              <w:t>《企业国有资产监督管理暂行条例》第十三条；《内蒙古自治区企业国有资产监督管理条例》第十条</w:t>
            </w:r>
          </w:p>
        </w:tc>
      </w:tr>
      <w:tr w:rsidR="00F947B5" w:rsidRPr="00F947B5" w:rsidTr="00F947B5">
        <w:trPr>
          <w:trHeight w:val="1110"/>
        </w:trPr>
        <w:tc>
          <w:tcPr>
            <w:tcW w:w="900" w:type="dxa"/>
            <w:tcBorders>
              <w:top w:val="nil"/>
              <w:left w:val="single" w:sz="4" w:space="0" w:color="auto"/>
              <w:bottom w:val="single" w:sz="4" w:space="0" w:color="auto"/>
              <w:right w:val="single" w:sz="4" w:space="0" w:color="auto"/>
            </w:tcBorders>
            <w:shd w:val="clear" w:color="auto" w:fill="auto"/>
            <w:vAlign w:val="center"/>
            <w:hideMark/>
          </w:tcPr>
          <w:p w:rsidR="00F947B5" w:rsidRPr="00F947B5" w:rsidRDefault="00F947B5" w:rsidP="00F947B5">
            <w:pPr>
              <w:widowControl/>
              <w:jc w:val="center"/>
              <w:rPr>
                <w:rFonts w:ascii="仿宋" w:eastAsia="仿宋" w:hAnsi="仿宋" w:cs="宋体"/>
                <w:color w:val="000000"/>
                <w:kern w:val="0"/>
                <w:sz w:val="24"/>
                <w:szCs w:val="24"/>
              </w:rPr>
            </w:pPr>
            <w:r w:rsidRPr="00F947B5">
              <w:rPr>
                <w:rFonts w:ascii="仿宋" w:eastAsia="仿宋" w:hAnsi="仿宋" w:cs="宋体" w:hint="eastAsia"/>
                <w:color w:val="000000"/>
                <w:kern w:val="0"/>
                <w:sz w:val="24"/>
                <w:szCs w:val="24"/>
              </w:rPr>
              <w:t>3</w:t>
            </w:r>
          </w:p>
        </w:tc>
        <w:tc>
          <w:tcPr>
            <w:tcW w:w="6700" w:type="dxa"/>
            <w:tcBorders>
              <w:top w:val="nil"/>
              <w:left w:val="nil"/>
              <w:bottom w:val="single" w:sz="4" w:space="0" w:color="auto"/>
              <w:right w:val="single" w:sz="4" w:space="0" w:color="auto"/>
            </w:tcBorders>
            <w:shd w:val="clear" w:color="auto" w:fill="auto"/>
            <w:vAlign w:val="center"/>
            <w:hideMark/>
          </w:tcPr>
          <w:p w:rsidR="00F947B5" w:rsidRPr="00F947B5" w:rsidRDefault="00F947B5" w:rsidP="00F947B5">
            <w:pPr>
              <w:widowControl/>
              <w:jc w:val="left"/>
              <w:rPr>
                <w:rFonts w:ascii="仿宋" w:eastAsia="仿宋" w:hAnsi="仿宋" w:cs="宋体"/>
                <w:color w:val="000000"/>
                <w:kern w:val="0"/>
                <w:sz w:val="24"/>
                <w:szCs w:val="24"/>
              </w:rPr>
            </w:pPr>
            <w:r w:rsidRPr="00F947B5">
              <w:rPr>
                <w:rFonts w:ascii="仿宋" w:eastAsia="仿宋" w:hAnsi="仿宋" w:cs="宋体" w:hint="eastAsia"/>
                <w:color w:val="000000"/>
                <w:kern w:val="0"/>
                <w:sz w:val="24"/>
                <w:szCs w:val="24"/>
              </w:rPr>
              <w:t>尊重、维护所出资企业经营自主权，依法维护企业合法权益，促进企业依法经营管理，增强企业竞争力</w:t>
            </w:r>
          </w:p>
        </w:tc>
        <w:tc>
          <w:tcPr>
            <w:tcW w:w="6640" w:type="dxa"/>
            <w:tcBorders>
              <w:top w:val="nil"/>
              <w:left w:val="nil"/>
              <w:bottom w:val="single" w:sz="4" w:space="0" w:color="auto"/>
              <w:right w:val="single" w:sz="4" w:space="0" w:color="auto"/>
            </w:tcBorders>
            <w:shd w:val="clear" w:color="auto" w:fill="auto"/>
            <w:vAlign w:val="center"/>
            <w:hideMark/>
          </w:tcPr>
          <w:p w:rsidR="00F947B5" w:rsidRPr="00F947B5" w:rsidRDefault="00F947B5" w:rsidP="00F947B5">
            <w:pPr>
              <w:widowControl/>
              <w:jc w:val="left"/>
              <w:rPr>
                <w:rFonts w:ascii="仿宋" w:eastAsia="仿宋" w:hAnsi="仿宋" w:cs="宋体"/>
                <w:color w:val="000000"/>
                <w:kern w:val="0"/>
                <w:sz w:val="24"/>
                <w:szCs w:val="24"/>
              </w:rPr>
            </w:pPr>
            <w:r w:rsidRPr="00F947B5">
              <w:rPr>
                <w:rFonts w:ascii="仿宋" w:eastAsia="仿宋" w:hAnsi="仿宋" w:cs="宋体" w:hint="eastAsia"/>
                <w:color w:val="000000"/>
                <w:kern w:val="0"/>
                <w:sz w:val="24"/>
                <w:szCs w:val="24"/>
              </w:rPr>
              <w:t>《企业国有资产监督管理暂行条例》第十四条；《内蒙古自治区企业国有资产监督管理条例》第十八条</w:t>
            </w:r>
          </w:p>
        </w:tc>
      </w:tr>
      <w:tr w:rsidR="00F947B5" w:rsidRPr="00F947B5" w:rsidTr="00F947B5">
        <w:trPr>
          <w:trHeight w:val="1290"/>
        </w:trPr>
        <w:tc>
          <w:tcPr>
            <w:tcW w:w="900" w:type="dxa"/>
            <w:tcBorders>
              <w:top w:val="nil"/>
              <w:left w:val="single" w:sz="4" w:space="0" w:color="auto"/>
              <w:bottom w:val="single" w:sz="4" w:space="0" w:color="auto"/>
              <w:right w:val="single" w:sz="4" w:space="0" w:color="auto"/>
            </w:tcBorders>
            <w:shd w:val="clear" w:color="auto" w:fill="auto"/>
            <w:vAlign w:val="center"/>
            <w:hideMark/>
          </w:tcPr>
          <w:p w:rsidR="00F947B5" w:rsidRPr="00F947B5" w:rsidRDefault="00F947B5" w:rsidP="00F947B5">
            <w:pPr>
              <w:widowControl/>
              <w:jc w:val="center"/>
              <w:rPr>
                <w:rFonts w:ascii="仿宋" w:eastAsia="仿宋" w:hAnsi="仿宋" w:cs="宋体"/>
                <w:color w:val="000000"/>
                <w:kern w:val="0"/>
                <w:sz w:val="24"/>
                <w:szCs w:val="24"/>
              </w:rPr>
            </w:pPr>
            <w:r w:rsidRPr="00F947B5">
              <w:rPr>
                <w:rFonts w:ascii="仿宋" w:eastAsia="仿宋" w:hAnsi="仿宋" w:cs="宋体" w:hint="eastAsia"/>
                <w:color w:val="000000"/>
                <w:kern w:val="0"/>
                <w:sz w:val="24"/>
                <w:szCs w:val="24"/>
              </w:rPr>
              <w:t>4</w:t>
            </w:r>
          </w:p>
        </w:tc>
        <w:tc>
          <w:tcPr>
            <w:tcW w:w="6700" w:type="dxa"/>
            <w:tcBorders>
              <w:top w:val="nil"/>
              <w:left w:val="nil"/>
              <w:bottom w:val="single" w:sz="4" w:space="0" w:color="auto"/>
              <w:right w:val="single" w:sz="4" w:space="0" w:color="auto"/>
            </w:tcBorders>
            <w:shd w:val="clear" w:color="auto" w:fill="auto"/>
            <w:vAlign w:val="center"/>
            <w:hideMark/>
          </w:tcPr>
          <w:p w:rsidR="00F947B5" w:rsidRPr="00F947B5" w:rsidRDefault="00F947B5" w:rsidP="00F947B5">
            <w:pPr>
              <w:widowControl/>
              <w:jc w:val="left"/>
              <w:rPr>
                <w:rFonts w:ascii="仿宋" w:eastAsia="仿宋" w:hAnsi="仿宋" w:cs="宋体"/>
                <w:color w:val="000000"/>
                <w:kern w:val="0"/>
                <w:sz w:val="24"/>
                <w:szCs w:val="24"/>
              </w:rPr>
            </w:pPr>
            <w:r w:rsidRPr="00F947B5">
              <w:rPr>
                <w:rFonts w:ascii="仿宋" w:eastAsia="仿宋" w:hAnsi="仿宋" w:cs="宋体" w:hint="eastAsia"/>
                <w:color w:val="000000"/>
                <w:kern w:val="0"/>
                <w:sz w:val="24"/>
                <w:szCs w:val="24"/>
              </w:rPr>
              <w:t>加强所出资企业国有资产监督管理工作，通过统计、稽核等方式对企业国有资产的保值增值情况进行监管</w:t>
            </w:r>
          </w:p>
        </w:tc>
        <w:tc>
          <w:tcPr>
            <w:tcW w:w="6640" w:type="dxa"/>
            <w:tcBorders>
              <w:top w:val="nil"/>
              <w:left w:val="nil"/>
              <w:bottom w:val="single" w:sz="4" w:space="0" w:color="auto"/>
              <w:right w:val="single" w:sz="4" w:space="0" w:color="auto"/>
            </w:tcBorders>
            <w:shd w:val="clear" w:color="auto" w:fill="auto"/>
            <w:vAlign w:val="center"/>
            <w:hideMark/>
          </w:tcPr>
          <w:p w:rsidR="00F947B5" w:rsidRPr="00F947B5" w:rsidRDefault="00F947B5" w:rsidP="00F947B5">
            <w:pPr>
              <w:widowControl/>
              <w:jc w:val="left"/>
              <w:rPr>
                <w:rFonts w:ascii="仿宋" w:eastAsia="仿宋" w:hAnsi="仿宋" w:cs="宋体"/>
                <w:color w:val="000000"/>
                <w:kern w:val="0"/>
                <w:sz w:val="24"/>
                <w:szCs w:val="24"/>
              </w:rPr>
            </w:pPr>
            <w:r w:rsidRPr="00F947B5">
              <w:rPr>
                <w:rFonts w:ascii="仿宋" w:eastAsia="仿宋" w:hAnsi="仿宋" w:cs="宋体" w:hint="eastAsia"/>
                <w:color w:val="000000"/>
                <w:kern w:val="0"/>
                <w:sz w:val="24"/>
                <w:szCs w:val="24"/>
              </w:rPr>
              <w:t>《企业国有资产监督管理暂行条例》第十三、十四条</w:t>
            </w:r>
          </w:p>
        </w:tc>
      </w:tr>
      <w:tr w:rsidR="00F947B5" w:rsidRPr="00F947B5" w:rsidTr="00F947B5">
        <w:trPr>
          <w:trHeight w:val="1020"/>
        </w:trPr>
        <w:tc>
          <w:tcPr>
            <w:tcW w:w="9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47B5" w:rsidRPr="00F947B5" w:rsidRDefault="00F947B5" w:rsidP="00F947B5">
            <w:pPr>
              <w:widowControl/>
              <w:jc w:val="center"/>
              <w:rPr>
                <w:rFonts w:ascii="仿宋" w:eastAsia="仿宋" w:hAnsi="仿宋" w:cs="宋体"/>
                <w:color w:val="000000"/>
                <w:kern w:val="0"/>
                <w:sz w:val="24"/>
                <w:szCs w:val="24"/>
              </w:rPr>
            </w:pPr>
            <w:r w:rsidRPr="00F947B5">
              <w:rPr>
                <w:rFonts w:ascii="仿宋" w:eastAsia="仿宋" w:hAnsi="仿宋" w:cs="宋体" w:hint="eastAsia"/>
                <w:color w:val="000000"/>
                <w:kern w:val="0"/>
                <w:sz w:val="24"/>
                <w:szCs w:val="24"/>
              </w:rPr>
              <w:lastRenderedPageBreak/>
              <w:t>5</w:t>
            </w:r>
          </w:p>
        </w:tc>
        <w:tc>
          <w:tcPr>
            <w:tcW w:w="67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47B5" w:rsidRPr="00F947B5" w:rsidRDefault="00F947B5" w:rsidP="00F947B5">
            <w:pPr>
              <w:widowControl/>
              <w:jc w:val="left"/>
              <w:rPr>
                <w:rFonts w:ascii="仿宋" w:eastAsia="仿宋" w:hAnsi="仿宋" w:cs="宋体"/>
                <w:color w:val="000000"/>
                <w:kern w:val="0"/>
                <w:sz w:val="24"/>
                <w:szCs w:val="24"/>
              </w:rPr>
            </w:pPr>
            <w:r w:rsidRPr="00F947B5">
              <w:rPr>
                <w:rFonts w:ascii="仿宋" w:eastAsia="仿宋" w:hAnsi="仿宋" w:cs="宋体" w:hint="eastAsia"/>
                <w:color w:val="000000"/>
                <w:kern w:val="0"/>
                <w:sz w:val="24"/>
                <w:szCs w:val="24"/>
              </w:rPr>
              <w:t>指导和推进所出资国有及国有控股企业建立现代企业制度，完善公司法人治理结构，推进管理现代化</w:t>
            </w:r>
          </w:p>
        </w:tc>
        <w:tc>
          <w:tcPr>
            <w:tcW w:w="66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47B5" w:rsidRPr="00F947B5" w:rsidRDefault="00F947B5" w:rsidP="00F947B5">
            <w:pPr>
              <w:widowControl/>
              <w:jc w:val="left"/>
              <w:rPr>
                <w:rFonts w:ascii="仿宋" w:eastAsia="仿宋" w:hAnsi="仿宋" w:cs="宋体"/>
                <w:color w:val="000000"/>
                <w:kern w:val="0"/>
                <w:sz w:val="24"/>
                <w:szCs w:val="24"/>
              </w:rPr>
            </w:pPr>
            <w:r w:rsidRPr="00F947B5">
              <w:rPr>
                <w:rFonts w:ascii="仿宋" w:eastAsia="仿宋" w:hAnsi="仿宋" w:cs="宋体" w:hint="eastAsia"/>
                <w:color w:val="000000"/>
                <w:kern w:val="0"/>
                <w:sz w:val="24"/>
                <w:szCs w:val="24"/>
              </w:rPr>
              <w:t>《企业国有资产监督管理暂行条例》第十四条</w:t>
            </w:r>
          </w:p>
        </w:tc>
      </w:tr>
      <w:tr w:rsidR="00F947B5" w:rsidRPr="00F947B5" w:rsidTr="00F947B5">
        <w:trPr>
          <w:trHeight w:val="1653"/>
        </w:trPr>
        <w:tc>
          <w:tcPr>
            <w:tcW w:w="9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47B5" w:rsidRPr="00F947B5" w:rsidRDefault="00F947B5" w:rsidP="00F947B5">
            <w:pPr>
              <w:widowControl/>
              <w:jc w:val="center"/>
              <w:rPr>
                <w:rFonts w:ascii="仿宋" w:eastAsia="仿宋" w:hAnsi="仿宋" w:cs="宋体"/>
                <w:color w:val="000000"/>
                <w:kern w:val="0"/>
                <w:sz w:val="24"/>
                <w:szCs w:val="24"/>
              </w:rPr>
            </w:pPr>
            <w:r w:rsidRPr="00F947B5">
              <w:rPr>
                <w:rFonts w:ascii="仿宋" w:eastAsia="仿宋" w:hAnsi="仿宋" w:cs="宋体" w:hint="eastAsia"/>
                <w:color w:val="000000"/>
                <w:kern w:val="0"/>
                <w:sz w:val="24"/>
                <w:szCs w:val="24"/>
              </w:rPr>
              <w:t>6</w:t>
            </w:r>
          </w:p>
        </w:tc>
        <w:tc>
          <w:tcPr>
            <w:tcW w:w="67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47B5" w:rsidRPr="00F947B5" w:rsidRDefault="00F947B5" w:rsidP="00F947B5">
            <w:pPr>
              <w:widowControl/>
              <w:jc w:val="left"/>
              <w:rPr>
                <w:rFonts w:ascii="仿宋" w:eastAsia="仿宋" w:hAnsi="仿宋" w:cs="宋体"/>
                <w:color w:val="000000"/>
                <w:kern w:val="0"/>
                <w:sz w:val="24"/>
                <w:szCs w:val="24"/>
              </w:rPr>
            </w:pPr>
            <w:r w:rsidRPr="00F947B5">
              <w:rPr>
                <w:rFonts w:ascii="仿宋" w:eastAsia="仿宋" w:hAnsi="仿宋" w:cs="宋体" w:hint="eastAsia"/>
                <w:color w:val="000000"/>
                <w:kern w:val="0"/>
                <w:sz w:val="24"/>
                <w:szCs w:val="24"/>
              </w:rPr>
              <w:t>建立健全企业国有资产监督管理制度，对制度实施情况进行监督和评价；起草自治区国有资产监督管理地方性法规规章草案</w:t>
            </w:r>
          </w:p>
        </w:tc>
        <w:tc>
          <w:tcPr>
            <w:tcW w:w="66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47B5" w:rsidRPr="00F947B5" w:rsidRDefault="00F947B5" w:rsidP="00F947B5">
            <w:pPr>
              <w:widowControl/>
              <w:jc w:val="left"/>
              <w:rPr>
                <w:rFonts w:ascii="仿宋" w:eastAsia="仿宋" w:hAnsi="仿宋" w:cs="宋体"/>
                <w:color w:val="000000"/>
                <w:kern w:val="0"/>
                <w:sz w:val="24"/>
                <w:szCs w:val="24"/>
              </w:rPr>
            </w:pPr>
            <w:r w:rsidRPr="00F947B5">
              <w:rPr>
                <w:rFonts w:ascii="仿宋" w:eastAsia="仿宋" w:hAnsi="仿宋" w:cs="宋体" w:hint="eastAsia"/>
                <w:color w:val="000000"/>
                <w:kern w:val="0"/>
                <w:sz w:val="24"/>
                <w:szCs w:val="24"/>
              </w:rPr>
              <w:t>《关于加强和改进企业国有资产监督防止国有资产流失的意见 》（国办发〔2015〕79号）；关于印发《内蒙古自治区人民政府国有资产监督管理委员会职能配置、内设机构和人员编制规定》的通知（厅发〔2018〕24号）</w:t>
            </w:r>
          </w:p>
        </w:tc>
      </w:tr>
      <w:tr w:rsidR="00F947B5" w:rsidRPr="00F947B5" w:rsidTr="00F947B5">
        <w:trPr>
          <w:trHeight w:val="1832"/>
        </w:trPr>
        <w:tc>
          <w:tcPr>
            <w:tcW w:w="9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47B5" w:rsidRPr="00F947B5" w:rsidRDefault="00F947B5" w:rsidP="00F947B5">
            <w:pPr>
              <w:widowControl/>
              <w:jc w:val="center"/>
              <w:rPr>
                <w:rFonts w:ascii="仿宋" w:eastAsia="仿宋" w:hAnsi="仿宋" w:cs="宋体"/>
                <w:color w:val="000000"/>
                <w:kern w:val="0"/>
                <w:sz w:val="24"/>
                <w:szCs w:val="24"/>
              </w:rPr>
            </w:pPr>
            <w:r w:rsidRPr="00F947B5">
              <w:rPr>
                <w:rFonts w:ascii="仿宋" w:eastAsia="仿宋" w:hAnsi="仿宋" w:cs="宋体" w:hint="eastAsia"/>
                <w:color w:val="000000"/>
                <w:kern w:val="0"/>
                <w:sz w:val="24"/>
                <w:szCs w:val="24"/>
              </w:rPr>
              <w:t>7</w:t>
            </w:r>
          </w:p>
        </w:tc>
        <w:tc>
          <w:tcPr>
            <w:tcW w:w="6700" w:type="dxa"/>
            <w:tcBorders>
              <w:top w:val="single" w:sz="4" w:space="0" w:color="auto"/>
              <w:left w:val="nil"/>
              <w:bottom w:val="single" w:sz="4" w:space="0" w:color="auto"/>
              <w:right w:val="single" w:sz="4" w:space="0" w:color="auto"/>
            </w:tcBorders>
            <w:shd w:val="clear" w:color="auto" w:fill="auto"/>
            <w:vAlign w:val="center"/>
            <w:hideMark/>
          </w:tcPr>
          <w:p w:rsidR="00F947B5" w:rsidRPr="00F947B5" w:rsidRDefault="00F947B5" w:rsidP="00F947B5">
            <w:pPr>
              <w:widowControl/>
              <w:jc w:val="left"/>
              <w:rPr>
                <w:rFonts w:ascii="仿宋" w:eastAsia="仿宋" w:hAnsi="仿宋" w:cs="宋体"/>
                <w:color w:val="000000"/>
                <w:kern w:val="0"/>
                <w:sz w:val="24"/>
                <w:szCs w:val="24"/>
              </w:rPr>
            </w:pPr>
            <w:r w:rsidRPr="00F947B5">
              <w:rPr>
                <w:rFonts w:ascii="仿宋" w:eastAsia="仿宋" w:hAnsi="仿宋" w:cs="宋体" w:hint="eastAsia"/>
                <w:color w:val="000000"/>
                <w:kern w:val="0"/>
                <w:sz w:val="24"/>
                <w:szCs w:val="24"/>
              </w:rPr>
              <w:t>依照管理权限和法定程序，任免或建议任免国家出资企业管理者，并对拟任人选按照规定的条件和程序进行考察；对其任命的企业管理者进行年度和任期考核，并依据考核结果决定企业管理者的薪酬和奖惩</w:t>
            </w:r>
          </w:p>
        </w:tc>
        <w:tc>
          <w:tcPr>
            <w:tcW w:w="6640" w:type="dxa"/>
            <w:tcBorders>
              <w:top w:val="single" w:sz="4" w:space="0" w:color="auto"/>
              <w:left w:val="nil"/>
              <w:bottom w:val="single" w:sz="4" w:space="0" w:color="auto"/>
              <w:right w:val="single" w:sz="4" w:space="0" w:color="auto"/>
            </w:tcBorders>
            <w:shd w:val="clear" w:color="auto" w:fill="auto"/>
            <w:vAlign w:val="center"/>
            <w:hideMark/>
          </w:tcPr>
          <w:p w:rsidR="00F947B5" w:rsidRPr="00F947B5" w:rsidRDefault="00F947B5" w:rsidP="00F947B5">
            <w:pPr>
              <w:widowControl/>
              <w:jc w:val="left"/>
              <w:rPr>
                <w:rFonts w:ascii="仿宋" w:eastAsia="仿宋" w:hAnsi="仿宋" w:cs="宋体"/>
                <w:color w:val="000000"/>
                <w:kern w:val="0"/>
                <w:sz w:val="24"/>
                <w:szCs w:val="24"/>
              </w:rPr>
            </w:pPr>
            <w:r w:rsidRPr="00F947B5">
              <w:rPr>
                <w:rFonts w:ascii="仿宋" w:eastAsia="仿宋" w:hAnsi="仿宋" w:cs="宋体" w:hint="eastAsia"/>
                <w:color w:val="000000"/>
                <w:kern w:val="0"/>
                <w:sz w:val="24"/>
                <w:szCs w:val="24"/>
              </w:rPr>
              <w:t>《企业国有资产法》第二十二、二十四、二十七条；《内蒙古党委关于成立中共内蒙古自治区国有资产监督管理委员会委员会有关问题的通知》（内党发〔2003〕17号）；《内蒙古自治区企业国有资产监督管理条例》第十三、十五条</w:t>
            </w:r>
          </w:p>
        </w:tc>
      </w:tr>
      <w:tr w:rsidR="00F947B5" w:rsidRPr="00F947B5" w:rsidTr="00F947B5">
        <w:trPr>
          <w:trHeight w:val="1845"/>
        </w:trPr>
        <w:tc>
          <w:tcPr>
            <w:tcW w:w="900" w:type="dxa"/>
            <w:tcBorders>
              <w:top w:val="nil"/>
              <w:left w:val="single" w:sz="4" w:space="0" w:color="auto"/>
              <w:bottom w:val="single" w:sz="4" w:space="0" w:color="auto"/>
              <w:right w:val="single" w:sz="4" w:space="0" w:color="auto"/>
            </w:tcBorders>
            <w:shd w:val="clear" w:color="auto" w:fill="auto"/>
            <w:vAlign w:val="center"/>
            <w:hideMark/>
          </w:tcPr>
          <w:p w:rsidR="00F947B5" w:rsidRPr="00F947B5" w:rsidRDefault="00F947B5" w:rsidP="00F947B5">
            <w:pPr>
              <w:widowControl/>
              <w:jc w:val="center"/>
              <w:rPr>
                <w:rFonts w:ascii="仿宋" w:eastAsia="仿宋" w:hAnsi="仿宋" w:cs="宋体"/>
                <w:color w:val="000000"/>
                <w:kern w:val="0"/>
                <w:sz w:val="24"/>
                <w:szCs w:val="24"/>
              </w:rPr>
            </w:pPr>
            <w:r w:rsidRPr="00F947B5">
              <w:rPr>
                <w:rFonts w:ascii="仿宋" w:eastAsia="仿宋" w:hAnsi="仿宋" w:cs="宋体" w:hint="eastAsia"/>
                <w:color w:val="000000"/>
                <w:kern w:val="0"/>
                <w:sz w:val="24"/>
                <w:szCs w:val="24"/>
              </w:rPr>
              <w:t>8</w:t>
            </w:r>
          </w:p>
        </w:tc>
        <w:tc>
          <w:tcPr>
            <w:tcW w:w="6700" w:type="dxa"/>
            <w:tcBorders>
              <w:top w:val="nil"/>
              <w:left w:val="nil"/>
              <w:bottom w:val="single" w:sz="4" w:space="0" w:color="auto"/>
              <w:right w:val="single" w:sz="4" w:space="0" w:color="auto"/>
            </w:tcBorders>
            <w:shd w:val="clear" w:color="auto" w:fill="auto"/>
            <w:vAlign w:val="center"/>
            <w:hideMark/>
          </w:tcPr>
          <w:p w:rsidR="00F947B5" w:rsidRPr="00F947B5" w:rsidRDefault="00F947B5" w:rsidP="00F947B5">
            <w:pPr>
              <w:widowControl/>
              <w:jc w:val="left"/>
              <w:rPr>
                <w:rFonts w:ascii="仿宋" w:eastAsia="仿宋" w:hAnsi="仿宋" w:cs="宋体"/>
                <w:color w:val="000000"/>
                <w:kern w:val="0"/>
                <w:sz w:val="24"/>
                <w:szCs w:val="24"/>
              </w:rPr>
            </w:pPr>
            <w:r w:rsidRPr="00F947B5">
              <w:rPr>
                <w:rFonts w:ascii="仿宋" w:eastAsia="仿宋" w:hAnsi="仿宋" w:cs="宋体" w:hint="eastAsia"/>
                <w:color w:val="000000"/>
                <w:kern w:val="0"/>
                <w:sz w:val="24"/>
                <w:szCs w:val="24"/>
              </w:rPr>
              <w:t>加强出资人监督，健全国家出资企业规划投资、改制重组、产权管理、财务评价、业绩考核、选人用人、薪酬分配等规范国有资本运作、防止国有资产流失的制度</w:t>
            </w:r>
          </w:p>
        </w:tc>
        <w:tc>
          <w:tcPr>
            <w:tcW w:w="6640" w:type="dxa"/>
            <w:tcBorders>
              <w:top w:val="nil"/>
              <w:left w:val="nil"/>
              <w:bottom w:val="single" w:sz="4" w:space="0" w:color="auto"/>
              <w:right w:val="single" w:sz="4" w:space="0" w:color="auto"/>
            </w:tcBorders>
            <w:shd w:val="clear" w:color="auto" w:fill="auto"/>
            <w:vAlign w:val="center"/>
            <w:hideMark/>
          </w:tcPr>
          <w:p w:rsidR="00F947B5" w:rsidRPr="00F947B5" w:rsidRDefault="00F947B5" w:rsidP="00F947B5">
            <w:pPr>
              <w:widowControl/>
              <w:jc w:val="left"/>
              <w:rPr>
                <w:rFonts w:ascii="仿宋" w:eastAsia="仿宋" w:hAnsi="仿宋" w:cs="宋体"/>
                <w:color w:val="000000"/>
                <w:kern w:val="0"/>
                <w:sz w:val="24"/>
                <w:szCs w:val="24"/>
              </w:rPr>
            </w:pPr>
            <w:r w:rsidRPr="00F947B5">
              <w:rPr>
                <w:rFonts w:ascii="仿宋" w:eastAsia="仿宋" w:hAnsi="仿宋" w:cs="宋体" w:hint="eastAsia"/>
                <w:color w:val="000000"/>
                <w:kern w:val="0"/>
                <w:sz w:val="24"/>
                <w:szCs w:val="24"/>
              </w:rPr>
              <w:t>《企业国有资产监督管理暂行条例》第十三条；《关于加强和改进企业国有资产监督防止国有资产流失的意见 》（国办发〔2015〕79号）；《内蒙古自治区企业国有资产监督管理条例》第四十三条</w:t>
            </w:r>
          </w:p>
        </w:tc>
      </w:tr>
      <w:tr w:rsidR="00F947B5" w:rsidRPr="00F947B5" w:rsidTr="00F947B5">
        <w:trPr>
          <w:trHeight w:val="1560"/>
        </w:trPr>
        <w:tc>
          <w:tcPr>
            <w:tcW w:w="900" w:type="dxa"/>
            <w:tcBorders>
              <w:top w:val="nil"/>
              <w:left w:val="single" w:sz="4" w:space="0" w:color="auto"/>
              <w:bottom w:val="single" w:sz="4" w:space="0" w:color="auto"/>
              <w:right w:val="single" w:sz="4" w:space="0" w:color="auto"/>
            </w:tcBorders>
            <w:shd w:val="clear" w:color="auto" w:fill="auto"/>
            <w:vAlign w:val="center"/>
            <w:hideMark/>
          </w:tcPr>
          <w:p w:rsidR="00F947B5" w:rsidRPr="00F947B5" w:rsidRDefault="00F947B5" w:rsidP="00F947B5">
            <w:pPr>
              <w:widowControl/>
              <w:jc w:val="center"/>
              <w:rPr>
                <w:rFonts w:ascii="仿宋" w:eastAsia="仿宋" w:hAnsi="仿宋" w:cs="宋体"/>
                <w:color w:val="000000"/>
                <w:kern w:val="0"/>
                <w:sz w:val="24"/>
                <w:szCs w:val="24"/>
              </w:rPr>
            </w:pPr>
            <w:r w:rsidRPr="00F947B5">
              <w:rPr>
                <w:rFonts w:ascii="仿宋" w:eastAsia="仿宋" w:hAnsi="仿宋" w:cs="宋体" w:hint="eastAsia"/>
                <w:color w:val="000000"/>
                <w:kern w:val="0"/>
                <w:sz w:val="24"/>
                <w:szCs w:val="24"/>
              </w:rPr>
              <w:t>9</w:t>
            </w:r>
          </w:p>
        </w:tc>
        <w:tc>
          <w:tcPr>
            <w:tcW w:w="6700" w:type="dxa"/>
            <w:tcBorders>
              <w:top w:val="nil"/>
              <w:left w:val="nil"/>
              <w:bottom w:val="single" w:sz="4" w:space="0" w:color="auto"/>
              <w:right w:val="single" w:sz="4" w:space="0" w:color="auto"/>
            </w:tcBorders>
            <w:shd w:val="clear" w:color="auto" w:fill="auto"/>
            <w:vAlign w:val="center"/>
            <w:hideMark/>
          </w:tcPr>
          <w:p w:rsidR="00F947B5" w:rsidRPr="00F947B5" w:rsidRDefault="00F947B5" w:rsidP="00F947B5">
            <w:pPr>
              <w:widowControl/>
              <w:jc w:val="left"/>
              <w:rPr>
                <w:rFonts w:ascii="仿宋" w:eastAsia="仿宋" w:hAnsi="仿宋" w:cs="宋体"/>
                <w:color w:val="000000"/>
                <w:kern w:val="0"/>
                <w:sz w:val="24"/>
                <w:szCs w:val="24"/>
              </w:rPr>
            </w:pPr>
            <w:r w:rsidRPr="00F947B5">
              <w:rPr>
                <w:rFonts w:ascii="仿宋" w:eastAsia="仿宋" w:hAnsi="仿宋" w:cs="宋体" w:hint="eastAsia"/>
                <w:color w:val="000000"/>
                <w:kern w:val="0"/>
                <w:sz w:val="24"/>
                <w:szCs w:val="24"/>
              </w:rPr>
              <w:t>依照有关规定加强所出资监管企业国有资产交易监督管理，规范企业国有资产交易行为</w:t>
            </w:r>
          </w:p>
        </w:tc>
        <w:tc>
          <w:tcPr>
            <w:tcW w:w="6640" w:type="dxa"/>
            <w:tcBorders>
              <w:top w:val="nil"/>
              <w:left w:val="nil"/>
              <w:bottom w:val="single" w:sz="4" w:space="0" w:color="auto"/>
              <w:right w:val="single" w:sz="4" w:space="0" w:color="auto"/>
            </w:tcBorders>
            <w:shd w:val="clear" w:color="auto" w:fill="auto"/>
            <w:vAlign w:val="center"/>
            <w:hideMark/>
          </w:tcPr>
          <w:p w:rsidR="00F947B5" w:rsidRPr="00F947B5" w:rsidRDefault="00F947B5" w:rsidP="00F947B5">
            <w:pPr>
              <w:widowControl/>
              <w:jc w:val="left"/>
              <w:rPr>
                <w:rFonts w:ascii="仿宋" w:eastAsia="仿宋" w:hAnsi="仿宋" w:cs="宋体"/>
                <w:color w:val="000000"/>
                <w:kern w:val="0"/>
                <w:sz w:val="24"/>
                <w:szCs w:val="24"/>
              </w:rPr>
            </w:pPr>
            <w:r w:rsidRPr="00F947B5">
              <w:rPr>
                <w:rFonts w:ascii="仿宋" w:eastAsia="仿宋" w:hAnsi="仿宋" w:cs="宋体" w:hint="eastAsia"/>
                <w:color w:val="000000"/>
                <w:kern w:val="0"/>
                <w:sz w:val="24"/>
                <w:szCs w:val="24"/>
              </w:rPr>
              <w:t>《企业国有资产交易监督管理办法》（国务院国资委、财政部令第32号）第六条；《内蒙古自治区企业国有资产监督管理条例》第四十五条</w:t>
            </w:r>
          </w:p>
        </w:tc>
      </w:tr>
      <w:tr w:rsidR="00F947B5" w:rsidRPr="00F947B5" w:rsidTr="00F947B5">
        <w:trPr>
          <w:trHeight w:val="2120"/>
        </w:trPr>
        <w:tc>
          <w:tcPr>
            <w:tcW w:w="9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47B5" w:rsidRPr="00F947B5" w:rsidRDefault="00F947B5" w:rsidP="00F947B5">
            <w:pPr>
              <w:widowControl/>
              <w:jc w:val="center"/>
              <w:rPr>
                <w:rFonts w:ascii="仿宋" w:eastAsia="仿宋" w:hAnsi="仿宋" w:cs="宋体"/>
                <w:color w:val="000000"/>
                <w:kern w:val="0"/>
                <w:sz w:val="24"/>
                <w:szCs w:val="24"/>
              </w:rPr>
            </w:pPr>
            <w:r w:rsidRPr="00F947B5">
              <w:rPr>
                <w:rFonts w:ascii="仿宋" w:eastAsia="仿宋" w:hAnsi="仿宋" w:cs="宋体" w:hint="eastAsia"/>
                <w:color w:val="000000"/>
                <w:kern w:val="0"/>
                <w:sz w:val="24"/>
                <w:szCs w:val="24"/>
              </w:rPr>
              <w:lastRenderedPageBreak/>
              <w:t>10</w:t>
            </w:r>
          </w:p>
        </w:tc>
        <w:tc>
          <w:tcPr>
            <w:tcW w:w="67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47B5" w:rsidRPr="00F947B5" w:rsidRDefault="00F947B5" w:rsidP="00F947B5">
            <w:pPr>
              <w:widowControl/>
              <w:jc w:val="left"/>
              <w:rPr>
                <w:rFonts w:ascii="仿宋" w:eastAsia="仿宋" w:hAnsi="仿宋" w:cs="宋体"/>
                <w:color w:val="000000"/>
                <w:kern w:val="0"/>
                <w:sz w:val="24"/>
                <w:szCs w:val="24"/>
              </w:rPr>
            </w:pPr>
            <w:r w:rsidRPr="00F947B5">
              <w:rPr>
                <w:rFonts w:ascii="仿宋" w:eastAsia="仿宋" w:hAnsi="仿宋" w:cs="宋体" w:hint="eastAsia"/>
                <w:color w:val="000000"/>
                <w:kern w:val="0"/>
                <w:sz w:val="24"/>
                <w:szCs w:val="24"/>
              </w:rPr>
              <w:t>健全和完善国有企业违规经营投资责任追究制度，对因违反法律、法规、企业章程和企业内部控制制度，以及未履行或未正确履行职责造成企业国有资产损失和其他严重不良后果的国有企业经营管理有关人员进行责任追究，并监督和指导国家出资企业开展内部违规经营投资责任追究工作</w:t>
            </w:r>
          </w:p>
        </w:tc>
        <w:tc>
          <w:tcPr>
            <w:tcW w:w="66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47B5" w:rsidRPr="00F947B5" w:rsidRDefault="00F947B5" w:rsidP="00F947B5">
            <w:pPr>
              <w:widowControl/>
              <w:jc w:val="left"/>
              <w:rPr>
                <w:rFonts w:ascii="仿宋" w:eastAsia="仿宋" w:hAnsi="仿宋" w:cs="宋体"/>
                <w:color w:val="000000"/>
                <w:kern w:val="0"/>
                <w:sz w:val="24"/>
                <w:szCs w:val="24"/>
              </w:rPr>
            </w:pPr>
            <w:r w:rsidRPr="00F947B5">
              <w:rPr>
                <w:rFonts w:ascii="仿宋" w:eastAsia="仿宋" w:hAnsi="仿宋" w:cs="宋体" w:hint="eastAsia"/>
                <w:color w:val="000000"/>
                <w:kern w:val="0"/>
                <w:sz w:val="24"/>
                <w:szCs w:val="24"/>
              </w:rPr>
              <w:t>《关于建立国有企业违规经营投资责任追究制度的意见》（国办发〔2016〕63号）；《内蒙古自治区企业国有资产监督管理条例》第四十四条；《内蒙古自治区直属企业违规经营投资责任追究办法》（内政办发〔2017〕46号）</w:t>
            </w:r>
          </w:p>
        </w:tc>
      </w:tr>
      <w:tr w:rsidR="00F947B5" w:rsidRPr="00F947B5" w:rsidTr="00F947B5">
        <w:trPr>
          <w:trHeight w:val="1965"/>
        </w:trPr>
        <w:tc>
          <w:tcPr>
            <w:tcW w:w="9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47B5" w:rsidRPr="00F947B5" w:rsidRDefault="00F947B5" w:rsidP="00F947B5">
            <w:pPr>
              <w:widowControl/>
              <w:jc w:val="center"/>
              <w:rPr>
                <w:rFonts w:ascii="仿宋" w:eastAsia="仿宋" w:hAnsi="仿宋" w:cs="宋体"/>
                <w:color w:val="000000"/>
                <w:kern w:val="0"/>
                <w:sz w:val="24"/>
                <w:szCs w:val="24"/>
              </w:rPr>
            </w:pPr>
            <w:r w:rsidRPr="00F947B5">
              <w:rPr>
                <w:rFonts w:ascii="仿宋" w:eastAsia="仿宋" w:hAnsi="仿宋" w:cs="宋体" w:hint="eastAsia"/>
                <w:color w:val="000000"/>
                <w:kern w:val="0"/>
                <w:sz w:val="24"/>
                <w:szCs w:val="24"/>
              </w:rPr>
              <w:t>11</w:t>
            </w:r>
          </w:p>
        </w:tc>
        <w:tc>
          <w:tcPr>
            <w:tcW w:w="6700" w:type="dxa"/>
            <w:tcBorders>
              <w:top w:val="single" w:sz="4" w:space="0" w:color="auto"/>
              <w:left w:val="nil"/>
              <w:bottom w:val="single" w:sz="4" w:space="0" w:color="auto"/>
              <w:right w:val="single" w:sz="4" w:space="0" w:color="auto"/>
            </w:tcBorders>
            <w:shd w:val="clear" w:color="auto" w:fill="auto"/>
            <w:vAlign w:val="center"/>
            <w:hideMark/>
          </w:tcPr>
          <w:p w:rsidR="00F947B5" w:rsidRPr="00F947B5" w:rsidRDefault="00F947B5" w:rsidP="00F947B5">
            <w:pPr>
              <w:widowControl/>
              <w:jc w:val="left"/>
              <w:rPr>
                <w:rFonts w:ascii="仿宋" w:eastAsia="仿宋" w:hAnsi="仿宋" w:cs="宋体"/>
                <w:color w:val="000000"/>
                <w:kern w:val="0"/>
                <w:sz w:val="24"/>
                <w:szCs w:val="24"/>
              </w:rPr>
            </w:pPr>
            <w:r w:rsidRPr="00F947B5">
              <w:rPr>
                <w:rFonts w:ascii="仿宋" w:eastAsia="仿宋" w:hAnsi="仿宋" w:cs="宋体" w:hint="eastAsia"/>
                <w:color w:val="000000"/>
                <w:kern w:val="0"/>
                <w:sz w:val="24"/>
                <w:szCs w:val="24"/>
              </w:rPr>
              <w:t>研究提出自治区国有企业收入分配制度改革办法措施，调控企业工资分配总体水平，承担所出资企业负责人薪酬、企业工资总额预算和企业年金实施方案管理工作</w:t>
            </w:r>
          </w:p>
        </w:tc>
        <w:tc>
          <w:tcPr>
            <w:tcW w:w="6640" w:type="dxa"/>
            <w:tcBorders>
              <w:top w:val="single" w:sz="4" w:space="0" w:color="auto"/>
              <w:left w:val="nil"/>
              <w:bottom w:val="single" w:sz="4" w:space="0" w:color="auto"/>
              <w:right w:val="single" w:sz="4" w:space="0" w:color="auto"/>
            </w:tcBorders>
            <w:shd w:val="clear" w:color="auto" w:fill="auto"/>
            <w:vAlign w:val="center"/>
            <w:hideMark/>
          </w:tcPr>
          <w:p w:rsidR="00F947B5" w:rsidRPr="00F947B5" w:rsidRDefault="00F947B5" w:rsidP="00F947B5">
            <w:pPr>
              <w:widowControl/>
              <w:jc w:val="left"/>
              <w:rPr>
                <w:rFonts w:ascii="仿宋" w:eastAsia="仿宋" w:hAnsi="仿宋" w:cs="宋体"/>
                <w:color w:val="000000"/>
                <w:kern w:val="0"/>
                <w:sz w:val="24"/>
                <w:szCs w:val="24"/>
              </w:rPr>
            </w:pPr>
            <w:r w:rsidRPr="00F947B5">
              <w:rPr>
                <w:rFonts w:ascii="仿宋" w:eastAsia="仿宋" w:hAnsi="仿宋" w:cs="宋体" w:hint="eastAsia"/>
                <w:color w:val="000000"/>
                <w:kern w:val="0"/>
                <w:sz w:val="24"/>
                <w:szCs w:val="24"/>
              </w:rPr>
              <w:t>《企业国有资产监督管理暂行条例》第二十六条；《国务院关于改革国有企业工资决定机制的意见》（国发〔2018〕16号）；《内蒙古自治区企业国有资产监督管理条例》第十四条；《关于中央企业规范实施企业年金的意见》（</w:t>
            </w:r>
            <w:proofErr w:type="gramStart"/>
            <w:r w:rsidRPr="00F947B5">
              <w:rPr>
                <w:rFonts w:ascii="仿宋" w:eastAsia="仿宋" w:hAnsi="仿宋" w:cs="宋体" w:hint="eastAsia"/>
                <w:color w:val="000000"/>
                <w:kern w:val="0"/>
                <w:sz w:val="24"/>
                <w:szCs w:val="24"/>
              </w:rPr>
              <w:t>国资发考分</w:t>
            </w:r>
            <w:proofErr w:type="gramEnd"/>
            <w:r w:rsidRPr="00F947B5">
              <w:rPr>
                <w:rFonts w:ascii="仿宋" w:eastAsia="仿宋" w:hAnsi="仿宋" w:cs="宋体" w:hint="eastAsia"/>
                <w:color w:val="000000"/>
                <w:kern w:val="0"/>
                <w:sz w:val="24"/>
                <w:szCs w:val="24"/>
              </w:rPr>
              <w:t>〔2018〕76号）</w:t>
            </w:r>
          </w:p>
        </w:tc>
      </w:tr>
      <w:tr w:rsidR="00F947B5" w:rsidRPr="00F947B5" w:rsidTr="00F947B5">
        <w:trPr>
          <w:trHeight w:val="1413"/>
        </w:trPr>
        <w:tc>
          <w:tcPr>
            <w:tcW w:w="900" w:type="dxa"/>
            <w:tcBorders>
              <w:top w:val="nil"/>
              <w:left w:val="single" w:sz="4" w:space="0" w:color="auto"/>
              <w:bottom w:val="single" w:sz="4" w:space="0" w:color="auto"/>
              <w:right w:val="single" w:sz="4" w:space="0" w:color="auto"/>
            </w:tcBorders>
            <w:shd w:val="clear" w:color="auto" w:fill="auto"/>
            <w:vAlign w:val="center"/>
            <w:hideMark/>
          </w:tcPr>
          <w:p w:rsidR="00F947B5" w:rsidRPr="00F947B5" w:rsidRDefault="00F947B5" w:rsidP="00F947B5">
            <w:pPr>
              <w:widowControl/>
              <w:jc w:val="center"/>
              <w:rPr>
                <w:rFonts w:ascii="仿宋" w:eastAsia="仿宋" w:hAnsi="仿宋" w:cs="宋体"/>
                <w:color w:val="000000"/>
                <w:kern w:val="0"/>
                <w:sz w:val="24"/>
                <w:szCs w:val="24"/>
              </w:rPr>
            </w:pPr>
            <w:r w:rsidRPr="00F947B5">
              <w:rPr>
                <w:rFonts w:ascii="仿宋" w:eastAsia="仿宋" w:hAnsi="仿宋" w:cs="宋体" w:hint="eastAsia"/>
                <w:color w:val="000000"/>
                <w:kern w:val="0"/>
                <w:sz w:val="24"/>
                <w:szCs w:val="24"/>
              </w:rPr>
              <w:t>12</w:t>
            </w:r>
          </w:p>
        </w:tc>
        <w:tc>
          <w:tcPr>
            <w:tcW w:w="6700" w:type="dxa"/>
            <w:tcBorders>
              <w:top w:val="nil"/>
              <w:left w:val="nil"/>
              <w:bottom w:val="single" w:sz="4" w:space="0" w:color="auto"/>
              <w:right w:val="single" w:sz="4" w:space="0" w:color="auto"/>
            </w:tcBorders>
            <w:shd w:val="clear" w:color="auto" w:fill="auto"/>
            <w:vAlign w:val="center"/>
            <w:hideMark/>
          </w:tcPr>
          <w:p w:rsidR="00F947B5" w:rsidRPr="00F947B5" w:rsidRDefault="00F947B5" w:rsidP="00F947B5">
            <w:pPr>
              <w:widowControl/>
              <w:jc w:val="left"/>
              <w:rPr>
                <w:rFonts w:ascii="仿宋" w:eastAsia="仿宋" w:hAnsi="仿宋" w:cs="宋体"/>
                <w:color w:val="000000"/>
                <w:kern w:val="0"/>
                <w:sz w:val="24"/>
                <w:szCs w:val="24"/>
              </w:rPr>
            </w:pPr>
            <w:r w:rsidRPr="00F947B5">
              <w:rPr>
                <w:rFonts w:ascii="仿宋" w:eastAsia="仿宋" w:hAnsi="仿宋" w:cs="宋体" w:hint="eastAsia"/>
                <w:color w:val="000000"/>
                <w:kern w:val="0"/>
                <w:sz w:val="24"/>
                <w:szCs w:val="24"/>
              </w:rPr>
              <w:t>建立健全国家出资企业境外国有资产监督管理制度，强化对企业境外投资、运营和产权状况的监督，规范企业境外大额度资金使用、集中采购和佣金管理，强化风险防范和责任追究</w:t>
            </w:r>
          </w:p>
        </w:tc>
        <w:tc>
          <w:tcPr>
            <w:tcW w:w="6640" w:type="dxa"/>
            <w:tcBorders>
              <w:top w:val="nil"/>
              <w:left w:val="nil"/>
              <w:bottom w:val="single" w:sz="4" w:space="0" w:color="auto"/>
              <w:right w:val="single" w:sz="4" w:space="0" w:color="auto"/>
            </w:tcBorders>
            <w:shd w:val="clear" w:color="auto" w:fill="auto"/>
            <w:vAlign w:val="center"/>
            <w:hideMark/>
          </w:tcPr>
          <w:p w:rsidR="00F947B5" w:rsidRPr="00F947B5" w:rsidRDefault="00F947B5" w:rsidP="00F947B5">
            <w:pPr>
              <w:widowControl/>
              <w:jc w:val="left"/>
              <w:rPr>
                <w:rFonts w:ascii="仿宋" w:eastAsia="仿宋" w:hAnsi="仿宋" w:cs="宋体"/>
                <w:color w:val="000000"/>
                <w:kern w:val="0"/>
                <w:sz w:val="24"/>
                <w:szCs w:val="24"/>
              </w:rPr>
            </w:pPr>
            <w:r w:rsidRPr="00F947B5">
              <w:rPr>
                <w:rFonts w:ascii="仿宋" w:eastAsia="仿宋" w:hAnsi="仿宋" w:cs="宋体" w:hint="eastAsia"/>
                <w:color w:val="000000"/>
                <w:kern w:val="0"/>
                <w:sz w:val="24"/>
                <w:szCs w:val="24"/>
              </w:rPr>
              <w:t>《关于加强和改进企业国有资产监督防止国有资产流失的意见 》（国办发〔2015〕79号）</w:t>
            </w:r>
          </w:p>
        </w:tc>
      </w:tr>
      <w:tr w:rsidR="00F947B5" w:rsidRPr="00F947B5" w:rsidTr="00F947B5">
        <w:trPr>
          <w:trHeight w:val="1260"/>
        </w:trPr>
        <w:tc>
          <w:tcPr>
            <w:tcW w:w="900" w:type="dxa"/>
            <w:tcBorders>
              <w:top w:val="nil"/>
              <w:left w:val="single" w:sz="4" w:space="0" w:color="auto"/>
              <w:bottom w:val="single" w:sz="4" w:space="0" w:color="auto"/>
              <w:right w:val="single" w:sz="4" w:space="0" w:color="auto"/>
            </w:tcBorders>
            <w:shd w:val="clear" w:color="auto" w:fill="auto"/>
            <w:vAlign w:val="center"/>
            <w:hideMark/>
          </w:tcPr>
          <w:p w:rsidR="00F947B5" w:rsidRPr="00F947B5" w:rsidRDefault="00F947B5" w:rsidP="00F947B5">
            <w:pPr>
              <w:widowControl/>
              <w:jc w:val="center"/>
              <w:rPr>
                <w:rFonts w:ascii="仿宋" w:eastAsia="仿宋" w:hAnsi="仿宋" w:cs="宋体"/>
                <w:color w:val="000000"/>
                <w:kern w:val="0"/>
                <w:sz w:val="24"/>
                <w:szCs w:val="24"/>
              </w:rPr>
            </w:pPr>
            <w:r w:rsidRPr="00F947B5">
              <w:rPr>
                <w:rFonts w:ascii="仿宋" w:eastAsia="仿宋" w:hAnsi="仿宋" w:cs="宋体" w:hint="eastAsia"/>
                <w:color w:val="000000"/>
                <w:kern w:val="0"/>
                <w:sz w:val="24"/>
                <w:szCs w:val="24"/>
              </w:rPr>
              <w:t>13</w:t>
            </w:r>
          </w:p>
        </w:tc>
        <w:tc>
          <w:tcPr>
            <w:tcW w:w="6700" w:type="dxa"/>
            <w:tcBorders>
              <w:top w:val="nil"/>
              <w:left w:val="nil"/>
              <w:bottom w:val="single" w:sz="4" w:space="0" w:color="auto"/>
              <w:right w:val="single" w:sz="4" w:space="0" w:color="auto"/>
            </w:tcBorders>
            <w:shd w:val="clear" w:color="auto" w:fill="auto"/>
            <w:vAlign w:val="center"/>
            <w:hideMark/>
          </w:tcPr>
          <w:p w:rsidR="00F947B5" w:rsidRPr="00F947B5" w:rsidRDefault="00F947B5" w:rsidP="00F947B5">
            <w:pPr>
              <w:widowControl/>
              <w:jc w:val="left"/>
              <w:rPr>
                <w:rFonts w:ascii="仿宋" w:eastAsia="仿宋" w:hAnsi="仿宋" w:cs="宋体"/>
                <w:color w:val="000000"/>
                <w:kern w:val="0"/>
                <w:sz w:val="24"/>
                <w:szCs w:val="24"/>
              </w:rPr>
            </w:pPr>
            <w:r w:rsidRPr="00F947B5">
              <w:rPr>
                <w:rFonts w:ascii="仿宋" w:eastAsia="仿宋" w:hAnsi="仿宋" w:cs="宋体" w:hint="eastAsia"/>
                <w:color w:val="000000"/>
                <w:kern w:val="0"/>
                <w:sz w:val="24"/>
                <w:szCs w:val="24"/>
              </w:rPr>
              <w:t>指导督促自治区直属企业、驻呼中央企业普法依法治理工作</w:t>
            </w:r>
          </w:p>
        </w:tc>
        <w:tc>
          <w:tcPr>
            <w:tcW w:w="6640" w:type="dxa"/>
            <w:tcBorders>
              <w:top w:val="nil"/>
              <w:left w:val="nil"/>
              <w:bottom w:val="single" w:sz="4" w:space="0" w:color="auto"/>
              <w:right w:val="single" w:sz="4" w:space="0" w:color="auto"/>
            </w:tcBorders>
            <w:shd w:val="clear" w:color="auto" w:fill="auto"/>
            <w:vAlign w:val="center"/>
            <w:hideMark/>
          </w:tcPr>
          <w:p w:rsidR="00F947B5" w:rsidRPr="00F947B5" w:rsidRDefault="00F947B5" w:rsidP="00F947B5">
            <w:pPr>
              <w:widowControl/>
              <w:jc w:val="left"/>
              <w:rPr>
                <w:rFonts w:ascii="仿宋" w:eastAsia="仿宋" w:hAnsi="仿宋" w:cs="宋体"/>
                <w:color w:val="000000"/>
                <w:kern w:val="0"/>
                <w:sz w:val="24"/>
                <w:szCs w:val="24"/>
              </w:rPr>
            </w:pPr>
            <w:r w:rsidRPr="00F947B5">
              <w:rPr>
                <w:rFonts w:ascii="仿宋" w:eastAsia="仿宋" w:hAnsi="仿宋" w:cs="宋体" w:hint="eastAsia"/>
                <w:color w:val="000000"/>
                <w:kern w:val="0"/>
                <w:sz w:val="24"/>
                <w:szCs w:val="24"/>
              </w:rPr>
              <w:t>《自治区党委办公厅、政府办公厅关于印发内蒙古自治区依法治区领导小组各成员单位职责的通知》（厅发〔2011〕62号）</w:t>
            </w:r>
          </w:p>
        </w:tc>
      </w:tr>
      <w:tr w:rsidR="00F947B5" w:rsidRPr="00F947B5" w:rsidTr="00F947B5">
        <w:trPr>
          <w:trHeight w:val="1140"/>
        </w:trPr>
        <w:tc>
          <w:tcPr>
            <w:tcW w:w="900" w:type="dxa"/>
            <w:tcBorders>
              <w:top w:val="nil"/>
              <w:left w:val="single" w:sz="4" w:space="0" w:color="auto"/>
              <w:bottom w:val="single" w:sz="4" w:space="0" w:color="auto"/>
              <w:right w:val="single" w:sz="4" w:space="0" w:color="auto"/>
            </w:tcBorders>
            <w:shd w:val="clear" w:color="auto" w:fill="auto"/>
            <w:vAlign w:val="center"/>
            <w:hideMark/>
          </w:tcPr>
          <w:p w:rsidR="00F947B5" w:rsidRPr="00F947B5" w:rsidRDefault="00F947B5" w:rsidP="00F947B5">
            <w:pPr>
              <w:widowControl/>
              <w:jc w:val="center"/>
              <w:rPr>
                <w:rFonts w:ascii="仿宋" w:eastAsia="仿宋" w:hAnsi="仿宋" w:cs="宋体"/>
                <w:color w:val="000000"/>
                <w:kern w:val="0"/>
                <w:sz w:val="24"/>
                <w:szCs w:val="24"/>
              </w:rPr>
            </w:pPr>
            <w:r w:rsidRPr="00F947B5">
              <w:rPr>
                <w:rFonts w:ascii="仿宋" w:eastAsia="仿宋" w:hAnsi="仿宋" w:cs="宋体" w:hint="eastAsia"/>
                <w:color w:val="000000"/>
                <w:kern w:val="0"/>
                <w:sz w:val="24"/>
                <w:szCs w:val="24"/>
              </w:rPr>
              <w:t>14</w:t>
            </w:r>
          </w:p>
        </w:tc>
        <w:tc>
          <w:tcPr>
            <w:tcW w:w="6700" w:type="dxa"/>
            <w:tcBorders>
              <w:top w:val="nil"/>
              <w:left w:val="nil"/>
              <w:bottom w:val="single" w:sz="4" w:space="0" w:color="auto"/>
              <w:right w:val="single" w:sz="4" w:space="0" w:color="auto"/>
            </w:tcBorders>
            <w:shd w:val="clear" w:color="auto" w:fill="auto"/>
            <w:vAlign w:val="center"/>
            <w:hideMark/>
          </w:tcPr>
          <w:p w:rsidR="00F947B5" w:rsidRPr="00F947B5" w:rsidRDefault="00F947B5" w:rsidP="00F947B5">
            <w:pPr>
              <w:widowControl/>
              <w:jc w:val="left"/>
              <w:rPr>
                <w:rFonts w:ascii="仿宋" w:eastAsia="仿宋" w:hAnsi="仿宋" w:cs="宋体"/>
                <w:color w:val="000000"/>
                <w:kern w:val="0"/>
                <w:sz w:val="24"/>
                <w:szCs w:val="24"/>
              </w:rPr>
            </w:pPr>
            <w:r w:rsidRPr="00F947B5">
              <w:rPr>
                <w:rFonts w:ascii="仿宋" w:eastAsia="仿宋" w:hAnsi="仿宋" w:cs="宋体" w:hint="eastAsia"/>
                <w:color w:val="000000"/>
                <w:kern w:val="0"/>
                <w:sz w:val="24"/>
                <w:szCs w:val="24"/>
              </w:rPr>
              <w:t>定期向自治区人民政府报告有关国有资产总量、结构、变动、收益等汇总分析的情况</w:t>
            </w:r>
          </w:p>
        </w:tc>
        <w:tc>
          <w:tcPr>
            <w:tcW w:w="6640" w:type="dxa"/>
            <w:tcBorders>
              <w:top w:val="nil"/>
              <w:left w:val="nil"/>
              <w:bottom w:val="single" w:sz="4" w:space="0" w:color="auto"/>
              <w:right w:val="single" w:sz="4" w:space="0" w:color="auto"/>
            </w:tcBorders>
            <w:shd w:val="clear" w:color="auto" w:fill="auto"/>
            <w:vAlign w:val="center"/>
            <w:hideMark/>
          </w:tcPr>
          <w:p w:rsidR="00F947B5" w:rsidRPr="00F947B5" w:rsidRDefault="00F947B5" w:rsidP="00F947B5">
            <w:pPr>
              <w:widowControl/>
              <w:jc w:val="left"/>
              <w:rPr>
                <w:rFonts w:ascii="仿宋" w:eastAsia="仿宋" w:hAnsi="仿宋" w:cs="宋体"/>
                <w:color w:val="000000"/>
                <w:kern w:val="0"/>
                <w:sz w:val="24"/>
                <w:szCs w:val="24"/>
              </w:rPr>
            </w:pPr>
            <w:r w:rsidRPr="00F947B5">
              <w:rPr>
                <w:rFonts w:ascii="仿宋" w:eastAsia="仿宋" w:hAnsi="仿宋" w:cs="宋体" w:hint="eastAsia"/>
                <w:color w:val="000000"/>
                <w:kern w:val="0"/>
                <w:sz w:val="24"/>
                <w:szCs w:val="24"/>
              </w:rPr>
              <w:t>《企业国有资产法》第十五条</w:t>
            </w:r>
          </w:p>
        </w:tc>
      </w:tr>
      <w:tr w:rsidR="00F947B5" w:rsidRPr="00F947B5" w:rsidTr="00F947B5">
        <w:trPr>
          <w:trHeight w:val="1455"/>
        </w:trPr>
        <w:tc>
          <w:tcPr>
            <w:tcW w:w="9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47B5" w:rsidRPr="00F947B5" w:rsidRDefault="00F947B5" w:rsidP="00F947B5">
            <w:pPr>
              <w:widowControl/>
              <w:jc w:val="center"/>
              <w:rPr>
                <w:rFonts w:ascii="仿宋" w:eastAsia="仿宋" w:hAnsi="仿宋" w:cs="宋体"/>
                <w:color w:val="000000"/>
                <w:kern w:val="0"/>
                <w:sz w:val="24"/>
                <w:szCs w:val="24"/>
              </w:rPr>
            </w:pPr>
            <w:bookmarkStart w:id="0" w:name="_GoBack"/>
            <w:r w:rsidRPr="00F947B5">
              <w:rPr>
                <w:rFonts w:ascii="仿宋" w:eastAsia="仿宋" w:hAnsi="仿宋" w:cs="宋体" w:hint="eastAsia"/>
                <w:color w:val="000000"/>
                <w:kern w:val="0"/>
                <w:sz w:val="24"/>
                <w:szCs w:val="24"/>
              </w:rPr>
              <w:lastRenderedPageBreak/>
              <w:t>15</w:t>
            </w:r>
          </w:p>
        </w:tc>
        <w:tc>
          <w:tcPr>
            <w:tcW w:w="67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47B5" w:rsidRPr="00F947B5" w:rsidRDefault="00F947B5" w:rsidP="00F947B5">
            <w:pPr>
              <w:widowControl/>
              <w:jc w:val="left"/>
              <w:rPr>
                <w:rFonts w:ascii="仿宋" w:eastAsia="仿宋" w:hAnsi="仿宋" w:cs="宋体"/>
                <w:color w:val="000000"/>
                <w:kern w:val="0"/>
                <w:sz w:val="24"/>
                <w:szCs w:val="24"/>
              </w:rPr>
            </w:pPr>
            <w:r w:rsidRPr="00F947B5">
              <w:rPr>
                <w:rFonts w:ascii="仿宋" w:eastAsia="仿宋" w:hAnsi="仿宋" w:cs="宋体" w:hint="eastAsia"/>
                <w:color w:val="000000"/>
                <w:kern w:val="0"/>
                <w:sz w:val="24"/>
                <w:szCs w:val="24"/>
              </w:rPr>
              <w:t>依法对盟市国有资产监督管理工作进行指导和监督</w:t>
            </w:r>
          </w:p>
        </w:tc>
        <w:tc>
          <w:tcPr>
            <w:tcW w:w="66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47B5" w:rsidRPr="00F947B5" w:rsidRDefault="00F947B5" w:rsidP="00F947B5">
            <w:pPr>
              <w:widowControl/>
              <w:jc w:val="left"/>
              <w:rPr>
                <w:rFonts w:ascii="仿宋" w:eastAsia="仿宋" w:hAnsi="仿宋" w:cs="宋体"/>
                <w:color w:val="000000"/>
                <w:kern w:val="0"/>
                <w:sz w:val="24"/>
                <w:szCs w:val="24"/>
              </w:rPr>
            </w:pPr>
            <w:r w:rsidRPr="00F947B5">
              <w:rPr>
                <w:rFonts w:ascii="仿宋" w:eastAsia="仿宋" w:hAnsi="仿宋" w:cs="宋体" w:hint="eastAsia"/>
                <w:color w:val="000000"/>
                <w:kern w:val="0"/>
                <w:sz w:val="24"/>
                <w:szCs w:val="24"/>
              </w:rPr>
              <w:t>《企业国有资产监督管理暂行条例》第十二条；关于印发《内蒙古自治区人民政府国有资产监督管理委员会职能配置、内设机构和人员编制规定》的通知（厅发〔2018〕24号）</w:t>
            </w:r>
          </w:p>
        </w:tc>
      </w:tr>
      <w:bookmarkEnd w:id="0"/>
      <w:tr w:rsidR="00F947B5" w:rsidRPr="00F947B5" w:rsidTr="00F947B5">
        <w:trPr>
          <w:trHeight w:val="1185"/>
        </w:trPr>
        <w:tc>
          <w:tcPr>
            <w:tcW w:w="9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47B5" w:rsidRPr="00F947B5" w:rsidRDefault="00F947B5" w:rsidP="00F947B5">
            <w:pPr>
              <w:widowControl/>
              <w:jc w:val="center"/>
              <w:rPr>
                <w:rFonts w:ascii="仿宋" w:eastAsia="仿宋" w:hAnsi="仿宋" w:cs="宋体"/>
                <w:color w:val="000000"/>
                <w:kern w:val="0"/>
                <w:sz w:val="24"/>
                <w:szCs w:val="24"/>
              </w:rPr>
            </w:pPr>
            <w:r w:rsidRPr="00F947B5">
              <w:rPr>
                <w:rFonts w:ascii="仿宋" w:eastAsia="仿宋" w:hAnsi="仿宋" w:cs="宋体" w:hint="eastAsia"/>
                <w:color w:val="000000"/>
                <w:kern w:val="0"/>
                <w:sz w:val="24"/>
                <w:szCs w:val="24"/>
              </w:rPr>
              <w:t>16</w:t>
            </w:r>
          </w:p>
        </w:tc>
        <w:tc>
          <w:tcPr>
            <w:tcW w:w="6700" w:type="dxa"/>
            <w:tcBorders>
              <w:top w:val="single" w:sz="4" w:space="0" w:color="auto"/>
              <w:left w:val="nil"/>
              <w:bottom w:val="single" w:sz="4" w:space="0" w:color="auto"/>
              <w:right w:val="single" w:sz="4" w:space="0" w:color="auto"/>
            </w:tcBorders>
            <w:shd w:val="clear" w:color="auto" w:fill="auto"/>
            <w:vAlign w:val="center"/>
            <w:hideMark/>
          </w:tcPr>
          <w:p w:rsidR="00F947B5" w:rsidRPr="00F947B5" w:rsidRDefault="00F947B5" w:rsidP="00F947B5">
            <w:pPr>
              <w:widowControl/>
              <w:jc w:val="left"/>
              <w:rPr>
                <w:rFonts w:ascii="仿宋" w:eastAsia="仿宋" w:hAnsi="仿宋" w:cs="宋体"/>
                <w:color w:val="000000"/>
                <w:kern w:val="0"/>
                <w:sz w:val="24"/>
                <w:szCs w:val="24"/>
              </w:rPr>
            </w:pPr>
            <w:r w:rsidRPr="00F947B5">
              <w:rPr>
                <w:rFonts w:ascii="仿宋" w:eastAsia="仿宋" w:hAnsi="仿宋" w:cs="宋体" w:hint="eastAsia"/>
                <w:color w:val="000000"/>
                <w:kern w:val="0"/>
                <w:sz w:val="24"/>
                <w:szCs w:val="24"/>
              </w:rPr>
              <w:t>负责企业领导人员因公和因私出国（境）及赴港澳政治审查</w:t>
            </w:r>
          </w:p>
        </w:tc>
        <w:tc>
          <w:tcPr>
            <w:tcW w:w="6640" w:type="dxa"/>
            <w:tcBorders>
              <w:top w:val="single" w:sz="4" w:space="0" w:color="auto"/>
              <w:left w:val="nil"/>
              <w:bottom w:val="single" w:sz="4" w:space="0" w:color="auto"/>
              <w:right w:val="single" w:sz="4" w:space="0" w:color="auto"/>
            </w:tcBorders>
            <w:shd w:val="clear" w:color="auto" w:fill="auto"/>
            <w:vAlign w:val="center"/>
            <w:hideMark/>
          </w:tcPr>
          <w:p w:rsidR="00F947B5" w:rsidRPr="00F947B5" w:rsidRDefault="00F947B5" w:rsidP="00F947B5">
            <w:pPr>
              <w:widowControl/>
              <w:jc w:val="left"/>
              <w:rPr>
                <w:rFonts w:ascii="仿宋" w:eastAsia="仿宋" w:hAnsi="仿宋" w:cs="宋体"/>
                <w:color w:val="000000"/>
                <w:kern w:val="0"/>
                <w:sz w:val="24"/>
                <w:szCs w:val="24"/>
              </w:rPr>
            </w:pPr>
            <w:r w:rsidRPr="00F947B5">
              <w:rPr>
                <w:rFonts w:ascii="仿宋" w:eastAsia="仿宋" w:hAnsi="仿宋" w:cs="宋体" w:hint="eastAsia"/>
                <w:color w:val="000000"/>
                <w:kern w:val="0"/>
                <w:sz w:val="24"/>
                <w:szCs w:val="24"/>
              </w:rPr>
              <w:t>《关于进一步加强全区各级领导干部出国（境）审批管理工作的通知》（内组通字〔2012〕30号）</w:t>
            </w:r>
          </w:p>
        </w:tc>
      </w:tr>
      <w:tr w:rsidR="00F947B5" w:rsidRPr="00F947B5" w:rsidTr="00F947B5">
        <w:trPr>
          <w:trHeight w:val="1530"/>
        </w:trPr>
        <w:tc>
          <w:tcPr>
            <w:tcW w:w="900" w:type="dxa"/>
            <w:tcBorders>
              <w:top w:val="nil"/>
              <w:left w:val="single" w:sz="4" w:space="0" w:color="auto"/>
              <w:bottom w:val="single" w:sz="4" w:space="0" w:color="auto"/>
              <w:right w:val="single" w:sz="4" w:space="0" w:color="auto"/>
            </w:tcBorders>
            <w:shd w:val="clear" w:color="auto" w:fill="auto"/>
            <w:vAlign w:val="center"/>
            <w:hideMark/>
          </w:tcPr>
          <w:p w:rsidR="00F947B5" w:rsidRPr="00F947B5" w:rsidRDefault="00F947B5" w:rsidP="00F947B5">
            <w:pPr>
              <w:widowControl/>
              <w:jc w:val="center"/>
              <w:rPr>
                <w:rFonts w:ascii="仿宋" w:eastAsia="仿宋" w:hAnsi="仿宋" w:cs="宋体"/>
                <w:color w:val="000000"/>
                <w:kern w:val="0"/>
                <w:sz w:val="24"/>
                <w:szCs w:val="24"/>
              </w:rPr>
            </w:pPr>
            <w:r w:rsidRPr="00F947B5">
              <w:rPr>
                <w:rFonts w:ascii="仿宋" w:eastAsia="仿宋" w:hAnsi="仿宋" w:cs="宋体" w:hint="eastAsia"/>
                <w:color w:val="000000"/>
                <w:kern w:val="0"/>
                <w:sz w:val="24"/>
                <w:szCs w:val="24"/>
              </w:rPr>
              <w:t>17</w:t>
            </w:r>
          </w:p>
        </w:tc>
        <w:tc>
          <w:tcPr>
            <w:tcW w:w="6700" w:type="dxa"/>
            <w:tcBorders>
              <w:top w:val="nil"/>
              <w:left w:val="nil"/>
              <w:bottom w:val="single" w:sz="4" w:space="0" w:color="auto"/>
              <w:right w:val="single" w:sz="4" w:space="0" w:color="auto"/>
            </w:tcBorders>
            <w:shd w:val="clear" w:color="auto" w:fill="auto"/>
            <w:vAlign w:val="center"/>
            <w:hideMark/>
          </w:tcPr>
          <w:p w:rsidR="00F947B5" w:rsidRPr="00F947B5" w:rsidRDefault="00F947B5" w:rsidP="00F947B5">
            <w:pPr>
              <w:widowControl/>
              <w:jc w:val="left"/>
              <w:rPr>
                <w:rFonts w:ascii="仿宋" w:eastAsia="仿宋" w:hAnsi="仿宋" w:cs="宋体"/>
                <w:color w:val="000000"/>
                <w:kern w:val="0"/>
                <w:sz w:val="24"/>
                <w:szCs w:val="24"/>
              </w:rPr>
            </w:pPr>
            <w:r w:rsidRPr="00F947B5">
              <w:rPr>
                <w:rFonts w:ascii="仿宋" w:eastAsia="仿宋" w:hAnsi="仿宋" w:cs="宋体" w:hint="eastAsia"/>
                <w:color w:val="000000"/>
                <w:kern w:val="0"/>
                <w:sz w:val="24"/>
                <w:szCs w:val="24"/>
              </w:rPr>
              <w:t>负责工程类专业技术职称评审及“草原英才”工程（企业经营管理类）评审</w:t>
            </w:r>
          </w:p>
        </w:tc>
        <w:tc>
          <w:tcPr>
            <w:tcW w:w="6640" w:type="dxa"/>
            <w:tcBorders>
              <w:top w:val="nil"/>
              <w:left w:val="nil"/>
              <w:bottom w:val="single" w:sz="4" w:space="0" w:color="auto"/>
              <w:right w:val="single" w:sz="4" w:space="0" w:color="auto"/>
            </w:tcBorders>
            <w:shd w:val="clear" w:color="auto" w:fill="auto"/>
            <w:vAlign w:val="center"/>
            <w:hideMark/>
          </w:tcPr>
          <w:p w:rsidR="00F947B5" w:rsidRPr="00F947B5" w:rsidRDefault="00F947B5" w:rsidP="00F947B5">
            <w:pPr>
              <w:widowControl/>
              <w:jc w:val="left"/>
              <w:rPr>
                <w:rFonts w:ascii="仿宋" w:eastAsia="仿宋" w:hAnsi="仿宋" w:cs="宋体"/>
                <w:color w:val="000000"/>
                <w:kern w:val="0"/>
                <w:sz w:val="24"/>
                <w:szCs w:val="24"/>
              </w:rPr>
            </w:pPr>
            <w:r w:rsidRPr="00F947B5">
              <w:rPr>
                <w:rFonts w:ascii="仿宋" w:eastAsia="仿宋" w:hAnsi="仿宋" w:cs="宋体" w:hint="eastAsia"/>
                <w:color w:val="000000"/>
                <w:kern w:val="0"/>
                <w:sz w:val="24"/>
                <w:szCs w:val="24"/>
              </w:rPr>
              <w:t>《关于印发2018年全区职称工作安排意见的通知》（内人社发[2018]24号）、《关于开展第九批“草原英才”工程申报工作的通知》（内组通字〔2018〕29号）</w:t>
            </w:r>
          </w:p>
        </w:tc>
      </w:tr>
      <w:tr w:rsidR="00F947B5" w:rsidRPr="00F947B5" w:rsidTr="00F947B5">
        <w:trPr>
          <w:trHeight w:val="1920"/>
        </w:trPr>
        <w:tc>
          <w:tcPr>
            <w:tcW w:w="900" w:type="dxa"/>
            <w:tcBorders>
              <w:top w:val="nil"/>
              <w:left w:val="single" w:sz="4" w:space="0" w:color="auto"/>
              <w:bottom w:val="single" w:sz="4" w:space="0" w:color="auto"/>
              <w:right w:val="single" w:sz="4" w:space="0" w:color="auto"/>
            </w:tcBorders>
            <w:shd w:val="clear" w:color="auto" w:fill="auto"/>
            <w:vAlign w:val="center"/>
            <w:hideMark/>
          </w:tcPr>
          <w:p w:rsidR="00F947B5" w:rsidRPr="00F947B5" w:rsidRDefault="00F947B5" w:rsidP="00F947B5">
            <w:pPr>
              <w:widowControl/>
              <w:jc w:val="center"/>
              <w:rPr>
                <w:rFonts w:ascii="仿宋" w:eastAsia="仿宋" w:hAnsi="仿宋" w:cs="宋体"/>
                <w:color w:val="000000"/>
                <w:kern w:val="0"/>
                <w:sz w:val="24"/>
                <w:szCs w:val="24"/>
              </w:rPr>
            </w:pPr>
            <w:r w:rsidRPr="00F947B5">
              <w:rPr>
                <w:rFonts w:ascii="仿宋" w:eastAsia="仿宋" w:hAnsi="仿宋" w:cs="宋体" w:hint="eastAsia"/>
                <w:color w:val="000000"/>
                <w:kern w:val="0"/>
                <w:sz w:val="24"/>
                <w:szCs w:val="24"/>
              </w:rPr>
              <w:t>18</w:t>
            </w:r>
          </w:p>
        </w:tc>
        <w:tc>
          <w:tcPr>
            <w:tcW w:w="6700" w:type="dxa"/>
            <w:tcBorders>
              <w:top w:val="nil"/>
              <w:left w:val="nil"/>
              <w:bottom w:val="single" w:sz="4" w:space="0" w:color="auto"/>
              <w:right w:val="single" w:sz="4" w:space="0" w:color="auto"/>
            </w:tcBorders>
            <w:shd w:val="clear" w:color="auto" w:fill="auto"/>
            <w:vAlign w:val="center"/>
            <w:hideMark/>
          </w:tcPr>
          <w:p w:rsidR="00F947B5" w:rsidRPr="00F947B5" w:rsidRDefault="00F947B5" w:rsidP="00F947B5">
            <w:pPr>
              <w:widowControl/>
              <w:jc w:val="left"/>
              <w:rPr>
                <w:rFonts w:ascii="仿宋" w:eastAsia="仿宋" w:hAnsi="仿宋" w:cs="宋体"/>
                <w:color w:val="000000"/>
                <w:kern w:val="0"/>
                <w:sz w:val="24"/>
                <w:szCs w:val="24"/>
              </w:rPr>
            </w:pPr>
            <w:r w:rsidRPr="00F947B5">
              <w:rPr>
                <w:rFonts w:ascii="仿宋" w:eastAsia="仿宋" w:hAnsi="仿宋" w:cs="宋体" w:hint="eastAsia"/>
                <w:color w:val="000000"/>
                <w:kern w:val="0"/>
                <w:sz w:val="24"/>
                <w:szCs w:val="24"/>
              </w:rPr>
              <w:t>负责组织所出资企业上交国有资本收益</w:t>
            </w:r>
          </w:p>
        </w:tc>
        <w:tc>
          <w:tcPr>
            <w:tcW w:w="6640" w:type="dxa"/>
            <w:tcBorders>
              <w:top w:val="nil"/>
              <w:left w:val="nil"/>
              <w:bottom w:val="single" w:sz="4" w:space="0" w:color="auto"/>
              <w:right w:val="single" w:sz="4" w:space="0" w:color="auto"/>
            </w:tcBorders>
            <w:shd w:val="clear" w:color="auto" w:fill="auto"/>
            <w:vAlign w:val="center"/>
            <w:hideMark/>
          </w:tcPr>
          <w:p w:rsidR="00F947B5" w:rsidRPr="00F947B5" w:rsidRDefault="00F947B5" w:rsidP="00F947B5">
            <w:pPr>
              <w:widowControl/>
              <w:jc w:val="left"/>
              <w:rPr>
                <w:rFonts w:ascii="仿宋" w:eastAsia="仿宋" w:hAnsi="仿宋" w:cs="宋体"/>
                <w:color w:val="000000"/>
                <w:kern w:val="0"/>
                <w:sz w:val="24"/>
                <w:szCs w:val="24"/>
              </w:rPr>
            </w:pPr>
            <w:r w:rsidRPr="00F947B5">
              <w:rPr>
                <w:rFonts w:ascii="仿宋" w:eastAsia="仿宋" w:hAnsi="仿宋" w:cs="宋体" w:hint="eastAsia"/>
                <w:color w:val="000000"/>
                <w:kern w:val="0"/>
                <w:sz w:val="24"/>
                <w:szCs w:val="24"/>
              </w:rPr>
              <w:t>《内蒙古自治区人民政府关于试行国有资本经营预算的实施意见》（内政发〔2008〕96号）；关于印发《内蒙古自治区人民政府国有资产监督管理委员会职能配置、内设机构和人员编制规定》的通知（厅发〔2018〕24号）</w:t>
            </w:r>
          </w:p>
        </w:tc>
      </w:tr>
    </w:tbl>
    <w:p w:rsidR="0033078C" w:rsidRPr="00F947B5" w:rsidRDefault="0033078C">
      <w:pPr>
        <w:rPr>
          <w:rFonts w:ascii="仿宋" w:eastAsia="仿宋" w:hAnsi="仿宋"/>
          <w:sz w:val="24"/>
          <w:szCs w:val="24"/>
        </w:rPr>
      </w:pPr>
    </w:p>
    <w:sectPr w:rsidR="0033078C" w:rsidRPr="00F947B5" w:rsidSect="00F947B5">
      <w:pgSz w:w="16838" w:h="11906" w:orient="landscape"/>
      <w:pgMar w:top="1800" w:right="1440" w:bottom="1800" w:left="144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47B5"/>
    <w:rsid w:val="0033078C"/>
    <w:rsid w:val="00F947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279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341</Words>
  <Characters>1944</Characters>
  <Application>Microsoft Office Word</Application>
  <DocSecurity>0</DocSecurity>
  <Lines>16</Lines>
  <Paragraphs>4</Paragraphs>
  <ScaleCrop>false</ScaleCrop>
  <Company/>
  <LinksUpToDate>false</LinksUpToDate>
  <CharactersWithSpaces>2281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何迎春</dc:creator>
  <cp:lastModifiedBy>何迎春</cp:lastModifiedBy>
  <cp:revision>1</cp:revision>
  <dcterms:created xsi:type="dcterms:W3CDTF">2019-03-21T02:19:00Z</dcterms:created>
  <dcterms:modified xsi:type="dcterms:W3CDTF">2019-03-21T02:21:00Z</dcterms:modified>
</cp:coreProperties>
</file>